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proofErr w:type="gramStart"/>
      <w:r>
        <w:t>declares</w:t>
      </w:r>
      <w:proofErr w:type="gramEnd"/>
      <w:r>
        <w:t xml:space="preserve">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E33977" w:rsidRDefault="00E33977"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r>
            <w:bookmarkStart w:id="1" w:name="Check1"/>
            <w:r>
              <w:rPr>
                <w:noProof/>
              </w:rPr>
              <w:instrText xml:space="preserve"/>
            </w:r>
            <w:r w:rsidR="002F7D00">
              <w:rPr>
                <w:noProof/>
              </w:rPr>
            </w:r>
            <w:r w:rsidR="002F7D00">
              <w:rPr>
                <w:noProof/>
              </w:rPr>
            </w:r>
            <w:r>
              <w:rPr>
                <w:noProof/>
              </w:rPr>
            </w:r>
            <w:bookmarkEnd w:id="1"/>
          </w:p>
        </w:tc>
        <w:tc>
          <w:tcPr>
            <w:tcW w:w="705" w:type="dxa"/>
            <w:shd w:val="clear" w:color="auto" w:fill="auto"/>
          </w:tcPr>
          <w:p w:rsidR="00E33977" w:rsidRDefault="00E33977"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E33977" w:rsidRDefault="00E33977"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 xml:space="preserve">of the European Parliament </w:t>
            </w:r>
            <w:r w:rsidR="00C475D8" w:rsidRPr="00583379">
              <w:rPr>
                <w:color w:val="000000"/>
              </w:rPr>
              <w:lastRenderedPageBreak/>
              <w:t>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lastRenderedPageBreak/>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C475D8" w:rsidRDefault="00C475D8"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proofErr w:type="gramStart"/>
            <w:r w:rsidRPr="00064086">
              <w:t>it</w:t>
            </w:r>
            <w:proofErr w:type="gramEnd"/>
            <w:r w:rsidRPr="00064086">
              <w:t xml:space="preserve">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proofErr w:type="gramStart"/>
            <w:r w:rsidRPr="00064086">
              <w:rPr>
                <w:color w:val="000000"/>
              </w:rPr>
              <w:t>decisions</w:t>
            </w:r>
            <w:proofErr w:type="gramEnd"/>
            <w:r w:rsidRPr="00064086">
              <w:rPr>
                <w:color w:val="000000"/>
              </w:rPr>
              <w:t xml:space="preserve">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705" w:type="dxa"/>
            <w:shd w:val="clear" w:color="auto" w:fill="auto"/>
          </w:tcPr>
          <w:p w:rsidR="00FC0AAB" w:rsidRDefault="00FC0AAB"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80269E" w:rsidRDefault="0080269E" w:rsidP="0024225B">
      <w:pPr>
        <w:pStyle w:val="Title"/>
        <w:jc w:val="both"/>
      </w:pPr>
      <w:bookmarkStart w:id="29" w:name="_DV_C376"/>
      <w:r>
        <w:lastRenderedPageBreak/>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1F135A" w:rsidRDefault="001F135A"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vAlign w:val="center"/>
          </w:tcPr>
          <w:p w:rsidR="00622B88" w:rsidRDefault="00622B88" w:rsidP="00D42F5E">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shd w:val="clear" w:color="auto" w:fill="auto"/>
            <w:vAlign w:val="center"/>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lastRenderedPageBreak/>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shd w:val="clear" w:color="auto" w:fill="auto"/>
            <w:vAlign w:val="center"/>
          </w:tcPr>
          <w:p w:rsidR="003E5E5C" w:rsidRDefault="003E5E5C"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14" w:type="dxa"/>
            <w:shd w:val="clear" w:color="auto" w:fill="auto"/>
            <w:vAlign w:val="center"/>
          </w:tcPr>
          <w:p w:rsidR="00063E62" w:rsidRDefault="00063E62" w:rsidP="00552343">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063E62" w:rsidRDefault="00063E62" w:rsidP="00552343">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lastRenderedPageBreak/>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08"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08"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08" w:type="dxa"/>
            <w:shd w:val="clear" w:color="auto" w:fill="auto"/>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376A09" w:rsidRDefault="00376A09" w:rsidP="00583379">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lastRenderedPageBreak/>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08" w:type="dxa"/>
            <w:gridSpan w:val="2"/>
            <w:shd w:val="clear" w:color="auto" w:fill="auto"/>
          </w:tcPr>
          <w:p w:rsidR="00376A09" w:rsidRDefault="00376A09" w:rsidP="00E3511A">
            <w:pPr>
              <w:spacing w:before="240" w:after="120"/>
              <w:jc w:val="both"/>
              <w:rPr>
                <w:noProof/>
              </w:rPr>
            </w:pPr>
            <w:r>
              <w:rPr>
                <w:noProof/>
              </w:rPr>
            </w:r>
            <w:r>
              <w:rPr>
                <w:noProof/>
              </w:rPr>
              <w:instrText xml:space="preserve"/>
            </w:r>
            <w:r w:rsidR="002F7D00">
              <w:rPr>
                <w:noProof/>
              </w:rPr>
            </w:r>
            <w:r w:rsidR="002F7D00">
              <w:rPr>
                <w:noProof/>
              </w:rPr>
            </w:r>
            <w:r>
              <w:rPr>
                <w:noProof/>
              </w:rPr>
            </w:r>
          </w:p>
        </w:tc>
        <w:tc>
          <w:tcPr>
            <w:tcW w:w="630" w:type="dxa"/>
          </w:tcPr>
          <w:p w:rsidR="00376A09" w:rsidRDefault="00376A09" w:rsidP="00E3511A">
            <w:pPr>
              <w:spacing w:before="240" w:after="120"/>
              <w:jc w:val="both"/>
              <w:rPr>
                <w:noProof/>
              </w:rPr>
            </w:pPr>
            <w:r>
              <w:rPr>
                <w:noProof/>
              </w:rPr>
            </w:r>
            <w:r>
              <w:rPr>
                <w:noProof/>
              </w:rPr>
              <w:instrText xml:space="preserve"/>
            </w:r>
            <w:r w:rsidR="002F7D00">
              <w:rPr>
                <w:noProof/>
              </w:rPr>
            </w:r>
            <w:r w:rsidR="002F7D00">
              <w:rPr>
                <w:noProof/>
              </w:rPr>
            </w:r>
            <w:r>
              <w:rPr>
                <w:noProof/>
              </w:rPr>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00" w:rsidRDefault="002F7D00">
      <w:r>
        <w:separator/>
      </w:r>
    </w:p>
  </w:endnote>
  <w:endnote w:type="continuationSeparator" w:id="0">
    <w:p w:rsidR="002F7D00" w:rsidRDefault="002F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924" w:rsidRDefault="00BD5924">
    <w:pPr>
      <w:pStyle w:val="Footer"/>
    </w:pPr>
    <w:r>
      <w:fldChar w:fldCharType="begin"/>
    </w:r>
    <w:r>
      <w:instrText xml:space="preserve"> PAGE   \* MERGEFORMAT </w:instrText>
    </w:r>
    <w:r>
      <w:fldChar w:fldCharType="separate"/>
    </w:r>
    <w:r w:rsidR="00626AFD">
      <w:rPr>
        <w:noProof/>
      </w:rPr>
      <w:t>7</w:t>
    </w:r>
    <w:r>
      <w:rPr>
        <w:noProof/>
      </w:rPr>
      <w:fldChar w:fldCharType="end"/>
    </w:r>
  </w:p>
  <w:p w:rsidR="00BD5924" w:rsidRDefault="00BD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00" w:rsidRDefault="002F7D00">
      <w:r>
        <w:separator/>
      </w:r>
    </w:p>
  </w:footnote>
  <w:footnote w:type="continuationSeparator" w:id="0">
    <w:p w:rsidR="002F7D00" w:rsidRDefault="002F7D00">
      <w:r>
        <w:continuationSeparator/>
      </w:r>
    </w:p>
  </w:footnote>
  <w:footnote w:id="1">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0984E17-E93E-474E-805B-82810C4C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15270</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Windows User</cp:lastModifiedBy>
  <cp:revision>2</cp:revision>
  <cp:lastPrinted>2016-02-26T14:49:00Z</cp:lastPrinted>
  <dcterms:created xsi:type="dcterms:W3CDTF">2021-05-17T09:59:00Z</dcterms:created>
  <dcterms:modified xsi:type="dcterms:W3CDTF">2021-05-17T09:59:00Z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