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2159E" w14:textId="77777777" w:rsidR="00EF71A7" w:rsidRDefault="00EF71A7" w:rsidP="00EF71A7">
      <w:pPr>
        <w:pStyle w:val="Heading1"/>
        <w:numPr>
          <w:ilvl w:val="0"/>
          <w:numId w:val="5"/>
        </w:numPr>
        <w:tabs>
          <w:tab w:val="left" w:pos="360"/>
          <w:tab w:val="left" w:pos="567"/>
        </w:tabs>
        <w:ind w:left="851" w:right="-710" w:hanging="851"/>
        <w:jc w:val="left"/>
        <w:rPr>
          <w:i/>
          <w:sz w:val="28"/>
          <w:szCs w:val="28"/>
          <w:lang w:val="en-GB"/>
        </w:rPr>
      </w:pPr>
      <w:bookmarkStart w:id="0" w:name="_Toc42488106"/>
      <w:bookmarkStart w:id="1" w:name="_Ref500419967"/>
      <w:permStart w:id="1147347567" w:edGrp="everyone"/>
      <w:permEnd w:id="1147347567"/>
      <w:r>
        <w:rPr>
          <w:i/>
          <w:sz w:val="28"/>
          <w:szCs w:val="28"/>
          <w:lang w:val="en-GB"/>
        </w:rPr>
        <w:t>TENDER FORM FOR A SUPPLY CONTRACT</w:t>
      </w:r>
      <w:bookmarkEnd w:id="0"/>
    </w:p>
    <w:bookmarkEnd w:id="1"/>
    <w:p w14:paraId="02542C23" w14:textId="6A8F6CF0" w:rsidR="00EF71A7" w:rsidRDefault="00EF71A7" w:rsidP="00EF71A7">
      <w:pPr>
        <w:pStyle w:val="Title"/>
        <w:jc w:val="left"/>
        <w:rPr>
          <w:b w:val="0"/>
          <w:sz w:val="22"/>
          <w:szCs w:val="22"/>
          <w:lang w:val="en-GB"/>
        </w:rPr>
      </w:pPr>
      <w:r>
        <w:rPr>
          <w:sz w:val="22"/>
          <w:szCs w:val="22"/>
          <w:lang w:val="en-GB"/>
        </w:rPr>
        <w:t>Publication reference: 0</w:t>
      </w:r>
      <w:r w:rsidR="00027936">
        <w:rPr>
          <w:sz w:val="22"/>
          <w:szCs w:val="22"/>
          <w:lang w:val="en-GB"/>
        </w:rPr>
        <w:t>29</w:t>
      </w:r>
      <w:r>
        <w:rPr>
          <w:sz w:val="22"/>
          <w:szCs w:val="22"/>
          <w:lang w:val="en-GB"/>
        </w:rPr>
        <w:t>/CUAMM/ETH/2023</w:t>
      </w:r>
    </w:p>
    <w:p w14:paraId="722DF71B" w14:textId="67ACFB08" w:rsidR="00EF71A7" w:rsidRPr="00027936" w:rsidRDefault="00EF71A7" w:rsidP="00EF71A7">
      <w:pPr>
        <w:pStyle w:val="Title"/>
        <w:jc w:val="left"/>
        <w:outlineLvl w:val="0"/>
        <w:rPr>
          <w:sz w:val="22"/>
          <w:szCs w:val="22"/>
          <w:lang w:val="en-GB"/>
        </w:rPr>
      </w:pPr>
      <w:r>
        <w:rPr>
          <w:sz w:val="22"/>
          <w:szCs w:val="22"/>
          <w:lang w:val="en-GB"/>
        </w:rPr>
        <w:t xml:space="preserve">Title of contract:  Supply of </w:t>
      </w:r>
      <w:r w:rsidR="00027936">
        <w:rPr>
          <w:sz w:val="22"/>
          <w:szCs w:val="22"/>
          <w:lang w:val="en-GB"/>
        </w:rPr>
        <w:t>Dignity KITs</w:t>
      </w:r>
    </w:p>
    <w:p w14:paraId="686DB015" w14:textId="77777777" w:rsidR="00EF71A7" w:rsidRDefault="00EF71A7" w:rsidP="00EF71A7">
      <w:pPr>
        <w:pStyle w:val="Title"/>
        <w:jc w:val="right"/>
        <w:outlineLvl w:val="0"/>
        <w:rPr>
          <w:sz w:val="22"/>
          <w:szCs w:val="22"/>
        </w:rPr>
      </w:pPr>
      <w:r>
        <w:rPr>
          <w:sz w:val="22"/>
          <w:szCs w:val="22"/>
        </w:rPr>
        <w:t>Date : ______________</w:t>
      </w:r>
    </w:p>
    <w:p w14:paraId="53090E56" w14:textId="053C7108" w:rsidR="00EF71A7" w:rsidRDefault="00EF71A7" w:rsidP="00EF71A7">
      <w:pPr>
        <w:rPr>
          <w:sz w:val="22"/>
          <w:szCs w:val="22"/>
        </w:rPr>
      </w:pPr>
      <w:r>
        <w:rPr>
          <w:sz w:val="22"/>
          <w:szCs w:val="22"/>
        </w:rPr>
        <w:t>Company Name:</w:t>
      </w:r>
    </w:p>
    <w:p w14:paraId="7AC90044" w14:textId="3AB19C43" w:rsidR="00EF71A7" w:rsidRDefault="00EF71A7" w:rsidP="00EF71A7">
      <w:pPr>
        <w:rPr>
          <w:sz w:val="22"/>
          <w:szCs w:val="22"/>
        </w:rPr>
      </w:pPr>
      <w:r>
        <w:rPr>
          <w:sz w:val="22"/>
          <w:szCs w:val="22"/>
        </w:rPr>
        <w:t>Address:</w:t>
      </w:r>
    </w:p>
    <w:p w14:paraId="33AFFAE1" w14:textId="77777777" w:rsidR="000714DC" w:rsidRPr="004F0604" w:rsidRDefault="000714DC" w:rsidP="0047783A">
      <w:pPr>
        <w:pStyle w:val="Blockquote"/>
        <w:spacing w:before="120" w:after="120"/>
        <w:ind w:left="0" w:right="0"/>
        <w:jc w:val="both"/>
        <w:rPr>
          <w:b/>
          <w:sz w:val="22"/>
          <w:szCs w:val="22"/>
        </w:rPr>
      </w:pPr>
    </w:p>
    <w:p w14:paraId="7D34C02E" w14:textId="1C2D2673"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proofErr w:type="spellStart"/>
      <w:r w:rsidRPr="006A5F84">
        <w:rPr>
          <w:sz w:val="22"/>
          <w:szCs w:val="22"/>
          <w:lang w:val="en-GB"/>
        </w:rPr>
        <w:t>economical</w:t>
      </w:r>
      <w:proofErr w:type="spellEnd"/>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B608DD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proofErr w:type="gramStart"/>
      <w:r>
        <w:rPr>
          <w:sz w:val="22"/>
          <w:szCs w:val="22"/>
        </w:rPr>
        <w:t>entities</w:t>
      </w:r>
      <w:proofErr w:type="gramEnd"/>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73955AF1" w:rsidR="00A45A0D" w:rsidRDefault="00A45A0D" w:rsidP="00A45A0D">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14:paraId="165ECA59" w14:textId="6A215CA5" w:rsidR="00EF71A7" w:rsidRDefault="00EF71A7">
      <w:pPr>
        <w:spacing w:after="0"/>
        <w:rPr>
          <w:sz w:val="22"/>
          <w:szCs w:val="22"/>
        </w:rPr>
      </w:pPr>
      <w:r>
        <w:rPr>
          <w:sz w:val="22"/>
          <w:szCs w:val="22"/>
        </w:rPr>
        <w:br w:type="page"/>
      </w:r>
    </w:p>
    <w:p w14:paraId="1CEC136A" w14:textId="77777777" w:rsidR="00A45A0D" w:rsidRPr="006A5F84" w:rsidRDefault="00A45A0D" w:rsidP="0047783A">
      <w:pPr>
        <w:pStyle w:val="Blockquote"/>
        <w:spacing w:before="120" w:after="120"/>
        <w:ind w:left="0" w:right="0"/>
        <w:jc w:val="both"/>
        <w:rPr>
          <w:sz w:val="22"/>
          <w:szCs w:val="22"/>
          <w:lang w:val="en-GB"/>
        </w:rPr>
      </w:pPr>
    </w:p>
    <w:p w14:paraId="153A76B5" w14:textId="77777777"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proofErr w:type="spellStart"/>
            <w:r w:rsidRPr="006A5F84">
              <w:rPr>
                <w:b/>
                <w:sz w:val="22"/>
              </w:rPr>
              <w:t>Etc</w:t>
            </w:r>
            <w:proofErr w:type="spellEnd"/>
            <w:r w:rsidRPr="006A5F84">
              <w:rPr>
                <w:b/>
                <w:sz w:val="22"/>
              </w:rPr>
              <w:t xml:space="preserve">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1F3517">
        <w:trPr>
          <w:trHeight w:val="563"/>
        </w:trPr>
        <w:tc>
          <w:tcPr>
            <w:tcW w:w="2235" w:type="dxa"/>
            <w:shd w:val="clear" w:color="auto" w:fill="B3B3B3"/>
            <w:vAlign w:val="center"/>
          </w:tcPr>
          <w:p w14:paraId="4ACE104E" w14:textId="77777777" w:rsidR="0047783A" w:rsidRPr="001F3517" w:rsidRDefault="0047783A" w:rsidP="001F3517">
            <w:pPr>
              <w:keepNext/>
              <w:tabs>
                <w:tab w:val="left" w:pos="360"/>
              </w:tabs>
              <w:rPr>
                <w:b/>
                <w:sz w:val="24"/>
                <w:szCs w:val="24"/>
              </w:rPr>
            </w:pPr>
            <w:r w:rsidRPr="001F3517">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1F3517">
        <w:trPr>
          <w:trHeight w:val="841"/>
        </w:trPr>
        <w:tc>
          <w:tcPr>
            <w:tcW w:w="2235" w:type="dxa"/>
            <w:shd w:val="clear" w:color="auto" w:fill="B3B3B3"/>
            <w:vAlign w:val="center"/>
          </w:tcPr>
          <w:p w14:paraId="5B095C81" w14:textId="77777777" w:rsidR="0047783A" w:rsidRPr="001F3517" w:rsidRDefault="0047783A" w:rsidP="001F3517">
            <w:pPr>
              <w:keepNext/>
              <w:tabs>
                <w:tab w:val="left" w:pos="360"/>
              </w:tabs>
              <w:rPr>
                <w:b/>
                <w:sz w:val="24"/>
                <w:szCs w:val="24"/>
              </w:rPr>
            </w:pPr>
            <w:r w:rsidRPr="001F3517">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1F3517">
        <w:trPr>
          <w:trHeight w:val="413"/>
        </w:trPr>
        <w:tc>
          <w:tcPr>
            <w:tcW w:w="2235" w:type="dxa"/>
            <w:shd w:val="clear" w:color="auto" w:fill="B3B3B3"/>
            <w:vAlign w:val="center"/>
          </w:tcPr>
          <w:p w14:paraId="046FB9A5" w14:textId="77777777" w:rsidR="0047783A" w:rsidRPr="001F3517" w:rsidRDefault="0047783A" w:rsidP="001F3517">
            <w:pPr>
              <w:keepNext/>
              <w:tabs>
                <w:tab w:val="left" w:pos="360"/>
              </w:tabs>
              <w:rPr>
                <w:b/>
                <w:sz w:val="24"/>
                <w:szCs w:val="24"/>
              </w:rPr>
            </w:pPr>
            <w:r w:rsidRPr="001F3517">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1F3517">
        <w:trPr>
          <w:trHeight w:val="431"/>
        </w:trPr>
        <w:tc>
          <w:tcPr>
            <w:tcW w:w="2235" w:type="dxa"/>
            <w:shd w:val="clear" w:color="auto" w:fill="B3B3B3"/>
            <w:vAlign w:val="center"/>
          </w:tcPr>
          <w:p w14:paraId="516D0C08" w14:textId="77777777" w:rsidR="0047783A" w:rsidRPr="001F3517" w:rsidRDefault="0047783A" w:rsidP="001F3517">
            <w:pPr>
              <w:keepNext/>
              <w:tabs>
                <w:tab w:val="left" w:pos="360"/>
              </w:tabs>
              <w:rPr>
                <w:b/>
                <w:sz w:val="24"/>
                <w:szCs w:val="24"/>
              </w:rPr>
            </w:pPr>
            <w:r w:rsidRPr="001F3517">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1F3517">
        <w:tc>
          <w:tcPr>
            <w:tcW w:w="2235" w:type="dxa"/>
            <w:shd w:val="clear" w:color="auto" w:fill="B3B3B3"/>
            <w:vAlign w:val="center"/>
          </w:tcPr>
          <w:p w14:paraId="593BCB7F" w14:textId="77777777" w:rsidR="0047783A" w:rsidRPr="001F3517" w:rsidRDefault="0047783A" w:rsidP="001F3517">
            <w:pPr>
              <w:keepNext/>
              <w:tabs>
                <w:tab w:val="left" w:pos="360"/>
              </w:tabs>
              <w:rPr>
                <w:b/>
                <w:sz w:val="24"/>
                <w:szCs w:val="24"/>
              </w:rPr>
            </w:pPr>
            <w:r w:rsidRPr="001F3517">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77777777" w:rsidR="0047783A" w:rsidRPr="006A5F84" w:rsidRDefault="0047783A" w:rsidP="0047783A">
      <w:pPr>
        <w:keepNext/>
        <w:tabs>
          <w:tab w:val="left" w:pos="360"/>
        </w:tabs>
        <w:spacing w:before="360"/>
        <w:jc w:val="both"/>
        <w:rPr>
          <w:sz w:val="24"/>
          <w:szCs w:val="24"/>
        </w:rPr>
      </w:pPr>
      <w:r w:rsidRPr="006A5F84">
        <w:rPr>
          <w:b/>
          <w:sz w:val="24"/>
          <w:szCs w:val="24"/>
        </w:rPr>
        <w:t>3</w:t>
      </w:r>
      <w:r w:rsidRPr="006A5F84">
        <w:rPr>
          <w:b/>
          <w:sz w:val="24"/>
          <w:szCs w:val="24"/>
        </w:rPr>
        <w:tab/>
        <w:t>ECONOMIC AND FINANCIAL CAPACITY</w:t>
      </w:r>
      <w:r w:rsidRPr="006A5F84">
        <w:rPr>
          <w:rStyle w:val="FootnoteReference"/>
          <w:b/>
          <w:sz w:val="24"/>
          <w:szCs w:val="24"/>
        </w:rPr>
        <w:footnoteReference w:id="3"/>
      </w:r>
    </w:p>
    <w:p w14:paraId="4521FBDB" w14:textId="77777777"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4"/>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latest estimates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39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4133"/>
        <w:gridCol w:w="2290"/>
        <w:gridCol w:w="1417"/>
        <w:gridCol w:w="1559"/>
      </w:tblGrid>
      <w:tr w:rsidR="00EF71A7" w:rsidRPr="006A5F84" w14:paraId="1481C142" w14:textId="77777777" w:rsidTr="00EF71A7">
        <w:tc>
          <w:tcPr>
            <w:tcW w:w="4133" w:type="dxa"/>
            <w:tcBorders>
              <w:bottom w:val="nil"/>
            </w:tcBorders>
            <w:shd w:val="pct5" w:color="auto" w:fill="FFFFFF"/>
          </w:tcPr>
          <w:p w14:paraId="43C7E39D" w14:textId="77777777" w:rsidR="00EF71A7" w:rsidRDefault="00EF71A7" w:rsidP="003502E9">
            <w:pPr>
              <w:keepNext/>
              <w:keepLines/>
              <w:widowControl w:val="0"/>
              <w:jc w:val="center"/>
              <w:rPr>
                <w:b/>
              </w:rPr>
            </w:pPr>
            <w:r w:rsidRPr="006A5F84">
              <w:rPr>
                <w:b/>
              </w:rPr>
              <w:t>Financial data</w:t>
            </w:r>
          </w:p>
          <w:p w14:paraId="6673DCD1" w14:textId="77777777" w:rsidR="00EF71A7" w:rsidRPr="006A5F84" w:rsidRDefault="00EF71A7" w:rsidP="003502E9">
            <w:pPr>
              <w:keepNext/>
              <w:keepLines/>
              <w:widowControl w:val="0"/>
              <w:jc w:val="center"/>
              <w:rPr>
                <w:b/>
              </w:rPr>
            </w:pPr>
            <w:r w:rsidRPr="00EF71A7">
              <w:t>Data requested in this table must be consistent with the selection criteria set in the additional information about the contract notice</w:t>
            </w:r>
            <w:r>
              <w:t xml:space="preserve"> document</w:t>
            </w:r>
          </w:p>
        </w:tc>
        <w:tc>
          <w:tcPr>
            <w:tcW w:w="2290" w:type="dxa"/>
            <w:tcBorders>
              <w:bottom w:val="nil"/>
            </w:tcBorders>
            <w:shd w:val="pct5" w:color="auto" w:fill="FFFFFF"/>
          </w:tcPr>
          <w:p w14:paraId="0DC08F35" w14:textId="76F678BE" w:rsidR="00EF71A7" w:rsidRDefault="00EF71A7" w:rsidP="00B34C65">
            <w:pPr>
              <w:widowControl w:val="0"/>
              <w:spacing w:before="60" w:after="60"/>
              <w:jc w:val="center"/>
              <w:rPr>
                <w:b/>
                <w:sz w:val="22"/>
                <w:szCs w:val="22"/>
              </w:rPr>
            </w:pPr>
            <w:r w:rsidRPr="006A5F84">
              <w:rPr>
                <w:b/>
              </w:rPr>
              <w:t>Year before last year</w:t>
            </w:r>
            <w:r w:rsidRPr="006A5F84">
              <w:rPr>
                <w:b/>
              </w:rPr>
              <w:br/>
            </w:r>
            <w:r w:rsidRPr="00EF71A7">
              <w:rPr>
                <w:b/>
                <w:sz w:val="22"/>
                <w:szCs w:val="22"/>
              </w:rPr>
              <w:t>2024</w:t>
            </w:r>
          </w:p>
          <w:p w14:paraId="2B19AEB6" w14:textId="516426F2" w:rsidR="00EF71A7" w:rsidRPr="006A5F84" w:rsidRDefault="00EF71A7" w:rsidP="003502E9">
            <w:pPr>
              <w:keepNext/>
              <w:keepLines/>
              <w:widowControl w:val="0"/>
              <w:jc w:val="center"/>
              <w:rPr>
                <w:b/>
              </w:rPr>
            </w:pPr>
            <w:r>
              <w:rPr>
                <w:b/>
              </w:rPr>
              <w:t>BIRR</w:t>
            </w:r>
          </w:p>
        </w:tc>
        <w:tc>
          <w:tcPr>
            <w:tcW w:w="1417" w:type="dxa"/>
            <w:tcBorders>
              <w:bottom w:val="nil"/>
            </w:tcBorders>
            <w:shd w:val="pct5" w:color="auto" w:fill="FFFFFF"/>
          </w:tcPr>
          <w:p w14:paraId="13503F42" w14:textId="626DA78A" w:rsidR="00EF71A7" w:rsidRDefault="00EF71A7" w:rsidP="00B34C65">
            <w:pPr>
              <w:widowControl w:val="0"/>
              <w:spacing w:before="60" w:after="60"/>
              <w:jc w:val="center"/>
              <w:rPr>
                <w:b/>
                <w:sz w:val="22"/>
                <w:szCs w:val="22"/>
              </w:rPr>
            </w:pPr>
            <w:r w:rsidRPr="006A5F84">
              <w:rPr>
                <w:b/>
              </w:rPr>
              <w:t>Last year</w:t>
            </w:r>
            <w:r w:rsidRPr="006A5F84">
              <w:rPr>
                <w:b/>
              </w:rPr>
              <w:br/>
            </w:r>
            <w:r>
              <w:rPr>
                <w:b/>
                <w:sz w:val="22"/>
                <w:szCs w:val="22"/>
              </w:rPr>
              <w:t>2015</w:t>
            </w:r>
          </w:p>
          <w:p w14:paraId="34D1965E" w14:textId="3D788709" w:rsidR="00EF71A7" w:rsidRPr="006A5F84" w:rsidRDefault="00EF71A7" w:rsidP="0047783A">
            <w:pPr>
              <w:keepNext/>
              <w:keepLines/>
              <w:widowControl w:val="0"/>
              <w:jc w:val="center"/>
              <w:rPr>
                <w:b/>
              </w:rPr>
            </w:pPr>
            <w:r>
              <w:rPr>
                <w:b/>
              </w:rPr>
              <w:t>BIRR</w:t>
            </w:r>
          </w:p>
        </w:tc>
        <w:tc>
          <w:tcPr>
            <w:tcW w:w="1559" w:type="dxa"/>
            <w:tcBorders>
              <w:bottom w:val="nil"/>
            </w:tcBorders>
            <w:shd w:val="pct5" w:color="auto" w:fill="FFFFFF"/>
          </w:tcPr>
          <w:p w14:paraId="5BA6BB4F" w14:textId="2BF5A643" w:rsidR="00EF71A7" w:rsidRPr="006A5F84" w:rsidRDefault="00EF71A7" w:rsidP="00EF71A7">
            <w:pPr>
              <w:keepNext/>
              <w:keepLines/>
              <w:widowControl w:val="0"/>
              <w:spacing w:before="60" w:after="60"/>
              <w:jc w:val="center"/>
              <w:rPr>
                <w:b/>
              </w:rPr>
            </w:pPr>
            <w:r w:rsidRPr="006A5F84">
              <w:rPr>
                <w:b/>
              </w:rPr>
              <w:t>Average</w:t>
            </w:r>
            <w:r w:rsidRPr="006A5F84">
              <w:rPr>
                <w:rStyle w:val="FootnoteReference"/>
                <w:b/>
              </w:rPr>
              <w:footnoteReference w:id="5"/>
            </w:r>
            <w:r w:rsidRPr="006A5F84">
              <w:rPr>
                <w:b/>
              </w:rPr>
              <w:t xml:space="preserve"> </w:t>
            </w:r>
            <w:r w:rsidRPr="006A5F84">
              <w:rPr>
                <w:b/>
              </w:rPr>
              <w:br/>
            </w:r>
          </w:p>
          <w:p w14:paraId="104125EA" w14:textId="37A9730D" w:rsidR="00EF71A7" w:rsidRPr="006A5F84" w:rsidRDefault="00EF71A7" w:rsidP="003502E9">
            <w:pPr>
              <w:keepNext/>
              <w:keepLines/>
              <w:widowControl w:val="0"/>
              <w:jc w:val="center"/>
              <w:rPr>
                <w:b/>
              </w:rPr>
            </w:pPr>
            <w:r>
              <w:rPr>
                <w:b/>
              </w:rPr>
              <w:t>BIRR</w:t>
            </w:r>
          </w:p>
        </w:tc>
      </w:tr>
      <w:tr w:rsidR="00EF71A7" w:rsidRPr="006A5F84" w14:paraId="2AB967C0" w14:textId="77777777" w:rsidTr="00EF71A7">
        <w:trPr>
          <w:cantSplit/>
        </w:trPr>
        <w:tc>
          <w:tcPr>
            <w:tcW w:w="4133" w:type="dxa"/>
            <w:tcBorders>
              <w:top w:val="single" w:sz="6" w:space="0" w:color="auto"/>
              <w:bottom w:val="double" w:sz="4" w:space="0" w:color="auto"/>
            </w:tcBorders>
          </w:tcPr>
          <w:p w14:paraId="7FE36DAA" w14:textId="77777777" w:rsidR="00EF71A7" w:rsidRDefault="00EF71A7" w:rsidP="00773081">
            <w:pPr>
              <w:keepNext/>
              <w:keepLines/>
              <w:widowControl w:val="0"/>
            </w:pPr>
          </w:p>
          <w:p w14:paraId="56B85507" w14:textId="77777777" w:rsidR="00EF71A7" w:rsidRDefault="00EF71A7" w:rsidP="00773081">
            <w:pPr>
              <w:keepNext/>
              <w:keepLines/>
              <w:widowControl w:val="0"/>
            </w:pPr>
            <w:r w:rsidRPr="006A5F84">
              <w:t>Annual turnover</w:t>
            </w:r>
            <w:r w:rsidRPr="006A5F84">
              <w:rPr>
                <w:rStyle w:val="FootnoteReference"/>
              </w:rPr>
              <w:footnoteReference w:id="6"/>
            </w:r>
            <w:r w:rsidRPr="006A5F84">
              <w:t>, excluding this contract</w:t>
            </w:r>
          </w:p>
          <w:p w14:paraId="50DFC277" w14:textId="440A35A2" w:rsidR="00EF71A7" w:rsidRPr="006A5F84" w:rsidRDefault="00EF71A7" w:rsidP="00773081">
            <w:pPr>
              <w:keepNext/>
              <w:keepLines/>
              <w:widowControl w:val="0"/>
            </w:pPr>
          </w:p>
        </w:tc>
        <w:tc>
          <w:tcPr>
            <w:tcW w:w="2290" w:type="dxa"/>
            <w:tcBorders>
              <w:top w:val="single" w:sz="6" w:space="0" w:color="auto"/>
              <w:bottom w:val="double" w:sz="4" w:space="0" w:color="auto"/>
            </w:tcBorders>
          </w:tcPr>
          <w:p w14:paraId="71AE3981" w14:textId="77777777" w:rsidR="00EF71A7" w:rsidRPr="006A5F84" w:rsidRDefault="00EF71A7" w:rsidP="003502E9">
            <w:pPr>
              <w:keepNext/>
              <w:keepLines/>
              <w:widowControl w:val="0"/>
            </w:pPr>
          </w:p>
        </w:tc>
        <w:tc>
          <w:tcPr>
            <w:tcW w:w="1417" w:type="dxa"/>
            <w:tcBorders>
              <w:top w:val="single" w:sz="6" w:space="0" w:color="auto"/>
              <w:bottom w:val="double" w:sz="4" w:space="0" w:color="auto"/>
            </w:tcBorders>
          </w:tcPr>
          <w:p w14:paraId="43E0F7C8" w14:textId="77777777" w:rsidR="00EF71A7" w:rsidRPr="006A5F84" w:rsidRDefault="00EF71A7" w:rsidP="003502E9">
            <w:pPr>
              <w:keepNext/>
              <w:keepLines/>
              <w:widowControl w:val="0"/>
            </w:pPr>
          </w:p>
        </w:tc>
        <w:tc>
          <w:tcPr>
            <w:tcW w:w="1559" w:type="dxa"/>
            <w:tcBorders>
              <w:top w:val="single" w:sz="6" w:space="0" w:color="auto"/>
              <w:bottom w:val="double" w:sz="4" w:space="0" w:color="auto"/>
            </w:tcBorders>
          </w:tcPr>
          <w:p w14:paraId="288E9F7B" w14:textId="77777777" w:rsidR="00EF71A7" w:rsidRPr="006A5F84" w:rsidRDefault="00EF71A7" w:rsidP="003502E9">
            <w:pPr>
              <w:keepNext/>
              <w:keepLines/>
              <w:widowControl w:val="0"/>
            </w:pPr>
          </w:p>
        </w:tc>
      </w:tr>
      <w:tr w:rsidR="00EF71A7" w:rsidRPr="006A5F84" w14:paraId="17905F3F" w14:textId="77777777" w:rsidTr="00EF71A7">
        <w:trPr>
          <w:cantSplit/>
        </w:trPr>
        <w:tc>
          <w:tcPr>
            <w:tcW w:w="4133" w:type="dxa"/>
            <w:tcBorders>
              <w:top w:val="nil"/>
            </w:tcBorders>
          </w:tcPr>
          <w:p w14:paraId="1E00F5A3" w14:textId="77777777" w:rsidR="00EF71A7" w:rsidRDefault="00EF71A7" w:rsidP="00773081">
            <w:pPr>
              <w:keepNext/>
              <w:keepLines/>
              <w:widowControl w:val="0"/>
            </w:pPr>
          </w:p>
          <w:p w14:paraId="5362B2D6" w14:textId="77777777" w:rsidR="00EF71A7" w:rsidRDefault="00EF71A7" w:rsidP="00773081">
            <w:pPr>
              <w:keepNext/>
              <w:keepLines/>
              <w:widowControl w:val="0"/>
            </w:pPr>
            <w:r>
              <w:t>Current assets</w:t>
            </w:r>
            <w:r w:rsidRPr="006A5F84">
              <w:rPr>
                <w:rStyle w:val="FootnoteReference"/>
              </w:rPr>
              <w:footnoteReference w:id="7"/>
            </w:r>
            <w:r w:rsidRPr="006A5F84">
              <w:t xml:space="preserve"> </w:t>
            </w:r>
          </w:p>
          <w:p w14:paraId="25CDEBF2" w14:textId="7C54919A" w:rsidR="00EF71A7" w:rsidRPr="006A5F84" w:rsidRDefault="00EF71A7" w:rsidP="00773081">
            <w:pPr>
              <w:keepNext/>
              <w:keepLines/>
              <w:widowControl w:val="0"/>
            </w:pPr>
          </w:p>
        </w:tc>
        <w:tc>
          <w:tcPr>
            <w:tcW w:w="2290" w:type="dxa"/>
            <w:tcBorders>
              <w:top w:val="nil"/>
              <w:bottom w:val="single" w:sz="6" w:space="0" w:color="auto"/>
            </w:tcBorders>
          </w:tcPr>
          <w:p w14:paraId="4D962B27" w14:textId="77777777" w:rsidR="00EF71A7" w:rsidRPr="006A5F84" w:rsidRDefault="00EF71A7" w:rsidP="003502E9">
            <w:pPr>
              <w:keepNext/>
              <w:keepLines/>
              <w:widowControl w:val="0"/>
            </w:pPr>
          </w:p>
        </w:tc>
        <w:tc>
          <w:tcPr>
            <w:tcW w:w="1417" w:type="dxa"/>
            <w:tcBorders>
              <w:top w:val="nil"/>
              <w:bottom w:val="single" w:sz="6" w:space="0" w:color="auto"/>
            </w:tcBorders>
          </w:tcPr>
          <w:p w14:paraId="1502459F" w14:textId="77777777" w:rsidR="00EF71A7" w:rsidRPr="006A5F84" w:rsidRDefault="00EF71A7" w:rsidP="003502E9">
            <w:pPr>
              <w:keepNext/>
              <w:keepLines/>
              <w:widowControl w:val="0"/>
            </w:pPr>
          </w:p>
        </w:tc>
        <w:tc>
          <w:tcPr>
            <w:tcW w:w="1559" w:type="dxa"/>
            <w:tcBorders>
              <w:top w:val="nil"/>
              <w:bottom w:val="single" w:sz="6" w:space="0" w:color="auto"/>
            </w:tcBorders>
          </w:tcPr>
          <w:p w14:paraId="13359F0F" w14:textId="77777777" w:rsidR="00EF71A7" w:rsidRPr="006A5F84" w:rsidRDefault="00EF71A7" w:rsidP="003502E9">
            <w:pPr>
              <w:keepNext/>
              <w:keepLines/>
              <w:widowControl w:val="0"/>
            </w:pPr>
          </w:p>
        </w:tc>
      </w:tr>
      <w:tr w:rsidR="00EF71A7" w:rsidRPr="006A5F84" w14:paraId="5D3EDFF6" w14:textId="77777777" w:rsidTr="00EF71A7">
        <w:trPr>
          <w:cantSplit/>
        </w:trPr>
        <w:tc>
          <w:tcPr>
            <w:tcW w:w="4133" w:type="dxa"/>
          </w:tcPr>
          <w:p w14:paraId="6DEB57A1" w14:textId="77777777" w:rsidR="00EF71A7" w:rsidRDefault="00EF71A7" w:rsidP="00773081">
            <w:pPr>
              <w:keepNext/>
              <w:keepLines/>
              <w:widowControl w:val="0"/>
            </w:pPr>
          </w:p>
          <w:p w14:paraId="76E5BB97" w14:textId="77777777" w:rsidR="00EF71A7" w:rsidRDefault="00EF71A7" w:rsidP="00773081">
            <w:pPr>
              <w:keepNext/>
              <w:keepLines/>
              <w:widowControl w:val="0"/>
            </w:pPr>
            <w:r>
              <w:t>Current liabilities</w:t>
            </w:r>
            <w:r w:rsidRPr="006A5F84">
              <w:rPr>
                <w:rStyle w:val="FootnoteReference"/>
              </w:rPr>
              <w:footnoteReference w:id="8"/>
            </w:r>
            <w:r w:rsidRPr="006A5F84">
              <w:t xml:space="preserve"> </w:t>
            </w:r>
          </w:p>
          <w:p w14:paraId="18A2B228" w14:textId="4EE65F60" w:rsidR="00EF71A7" w:rsidRPr="006A5F84" w:rsidRDefault="00EF71A7" w:rsidP="00773081">
            <w:pPr>
              <w:keepNext/>
              <w:keepLines/>
              <w:widowControl w:val="0"/>
            </w:pPr>
          </w:p>
        </w:tc>
        <w:tc>
          <w:tcPr>
            <w:tcW w:w="2290" w:type="dxa"/>
            <w:tcBorders>
              <w:top w:val="single" w:sz="6" w:space="0" w:color="auto"/>
              <w:bottom w:val="single" w:sz="6" w:space="0" w:color="auto"/>
            </w:tcBorders>
            <w:shd w:val="clear" w:color="auto" w:fill="auto"/>
          </w:tcPr>
          <w:p w14:paraId="7A182E25" w14:textId="77777777" w:rsidR="00EF71A7" w:rsidRPr="006A5F84" w:rsidRDefault="00EF71A7" w:rsidP="003502E9">
            <w:pPr>
              <w:keepNext/>
              <w:keepLines/>
              <w:widowControl w:val="0"/>
            </w:pPr>
          </w:p>
        </w:tc>
        <w:tc>
          <w:tcPr>
            <w:tcW w:w="1417" w:type="dxa"/>
            <w:tcBorders>
              <w:top w:val="single" w:sz="6" w:space="0" w:color="auto"/>
              <w:bottom w:val="single" w:sz="6" w:space="0" w:color="auto"/>
            </w:tcBorders>
            <w:shd w:val="clear" w:color="auto" w:fill="auto"/>
          </w:tcPr>
          <w:p w14:paraId="0CAF459E" w14:textId="77777777" w:rsidR="00EF71A7" w:rsidRPr="006A5F84" w:rsidRDefault="00EF71A7" w:rsidP="003502E9">
            <w:pPr>
              <w:keepNext/>
              <w:keepLines/>
              <w:widowControl w:val="0"/>
            </w:pPr>
          </w:p>
        </w:tc>
        <w:tc>
          <w:tcPr>
            <w:tcW w:w="1559" w:type="dxa"/>
            <w:tcBorders>
              <w:top w:val="single" w:sz="6" w:space="0" w:color="auto"/>
              <w:bottom w:val="single" w:sz="6" w:space="0" w:color="auto"/>
            </w:tcBorders>
            <w:shd w:val="clear" w:color="auto" w:fill="auto"/>
          </w:tcPr>
          <w:p w14:paraId="3B0E81C2" w14:textId="77777777" w:rsidR="00EF71A7" w:rsidRPr="006A5F84" w:rsidRDefault="00EF71A7" w:rsidP="003502E9">
            <w:pPr>
              <w:keepNext/>
              <w:keepLines/>
              <w:widowControl w:val="0"/>
            </w:pPr>
          </w:p>
        </w:tc>
      </w:tr>
    </w:tbl>
    <w:p w14:paraId="285D75EA" w14:textId="77777777" w:rsidR="00D64597" w:rsidRDefault="00D64597" w:rsidP="0047783A">
      <w:pPr>
        <w:keepNext/>
        <w:tabs>
          <w:tab w:val="left" w:pos="360"/>
        </w:tabs>
        <w:spacing w:before="360"/>
        <w:jc w:val="both"/>
        <w:rPr>
          <w:b/>
          <w:sz w:val="28"/>
          <w:szCs w:val="28"/>
        </w:rPr>
        <w:sectPr w:rsidR="00D64597" w:rsidSect="00FA4292">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134" w:header="720" w:footer="720" w:gutter="0"/>
          <w:cols w:space="720"/>
        </w:sectPr>
      </w:pPr>
    </w:p>
    <w:p w14:paraId="48C5E273" w14:textId="77777777" w:rsidR="0047783A" w:rsidRPr="006A5F84" w:rsidRDefault="0047783A" w:rsidP="00CF6CFA">
      <w:pPr>
        <w:keepNext/>
        <w:tabs>
          <w:tab w:val="left" w:pos="360"/>
        </w:tabs>
        <w:spacing w:after="0"/>
        <w:jc w:val="both"/>
        <w:rPr>
          <w:b/>
          <w:sz w:val="24"/>
          <w:szCs w:val="24"/>
        </w:rPr>
      </w:pPr>
      <w:r w:rsidRPr="006A5F84">
        <w:rPr>
          <w:b/>
          <w:sz w:val="24"/>
          <w:szCs w:val="24"/>
        </w:rPr>
        <w:lastRenderedPageBreak/>
        <w:t>5</w:t>
      </w:r>
      <w:r w:rsidRPr="006A5F84">
        <w:rPr>
          <w:b/>
          <w:sz w:val="24"/>
          <w:szCs w:val="24"/>
        </w:rPr>
        <w:tab/>
        <w:t>FIELDS OF SPECIALISATION</w:t>
      </w:r>
    </w:p>
    <w:p w14:paraId="6A8D4199" w14:textId="77777777" w:rsidR="0047783A" w:rsidRPr="006A5F84" w:rsidRDefault="0047783A" w:rsidP="003502E9">
      <w:pPr>
        <w:keepNext/>
        <w:keepLines/>
        <w:widowControl w:val="0"/>
        <w:jc w:val="both"/>
        <w:rPr>
          <w:sz w:val="22"/>
          <w:szCs w:val="22"/>
        </w:rPr>
      </w:pPr>
      <w:r w:rsidRPr="006A5F84">
        <w:rPr>
          <w:sz w:val="22"/>
          <w:szCs w:val="22"/>
        </w:rPr>
        <w:t xml:space="preserve">Please use the table below to indicate the </w:t>
      </w:r>
      <w:r w:rsidRPr="006A5F84">
        <w:rPr>
          <w:b/>
          <w:sz w:val="22"/>
          <w:szCs w:val="22"/>
        </w:rPr>
        <w:t xml:space="preserve">specialisms </w:t>
      </w:r>
      <w:r w:rsidR="00FD23CD" w:rsidRPr="006A5F84">
        <w:rPr>
          <w:b/>
          <w:sz w:val="22"/>
          <w:szCs w:val="22"/>
        </w:rPr>
        <w:t>relevant</w:t>
      </w:r>
      <w:r w:rsidRPr="006A5F84">
        <w:rPr>
          <w:b/>
          <w:sz w:val="22"/>
          <w:szCs w:val="22"/>
        </w:rPr>
        <w:t xml:space="preserve"> to this contract</w:t>
      </w:r>
      <w:r w:rsidRPr="006A5F84">
        <w:rPr>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sz w:val="22"/>
          <w:szCs w:val="22"/>
        </w:rPr>
        <w:sym w:font="Wingdings" w:char="F0FC"/>
      </w:r>
      <w:r w:rsidRPr="006A5F84">
        <w:rPr>
          <w:sz w:val="22"/>
          <w:szCs w:val="22"/>
        </w:rPr>
        <w:t xml:space="preserve">) in the box corresponding to those specialisms in which the legal entity has significant experience. </w:t>
      </w:r>
      <w:r w:rsidRPr="00C57B8F">
        <w:rPr>
          <w:sz w:val="22"/>
          <w:szCs w:val="22"/>
        </w:rPr>
        <w:t>[</w:t>
      </w:r>
      <w:r w:rsidRPr="00C57B8F">
        <w:rPr>
          <w:b/>
          <w:sz w:val="22"/>
          <w:szCs w:val="22"/>
        </w:rPr>
        <w:t>Maximum 10 specialisms</w:t>
      </w:r>
      <w:r w:rsidRPr="00C57B8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D64597">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tcPr>
          <w:p w14:paraId="39BBDBB0" w14:textId="77777777" w:rsidR="0047783A" w:rsidRPr="006A5F84" w:rsidRDefault="0047783A" w:rsidP="003502E9">
            <w:pPr>
              <w:keepNext/>
              <w:keepLines/>
              <w:jc w:val="center"/>
            </w:pPr>
            <w:r w:rsidRPr="006A5F84">
              <w:t>Leader</w:t>
            </w:r>
          </w:p>
        </w:tc>
        <w:tc>
          <w:tcPr>
            <w:tcW w:w="2748" w:type="dxa"/>
            <w:shd w:val="pct5" w:color="auto" w:fill="FFFFFF"/>
          </w:tcPr>
          <w:p w14:paraId="76E7CA59" w14:textId="77777777" w:rsidR="0047783A" w:rsidRPr="006A5F84" w:rsidRDefault="0047783A" w:rsidP="003502E9">
            <w:pPr>
              <w:keepNext/>
              <w:keepLines/>
              <w:jc w:val="center"/>
            </w:pPr>
            <w:r w:rsidRPr="006A5F84">
              <w:t>Member 2</w:t>
            </w:r>
          </w:p>
        </w:tc>
        <w:tc>
          <w:tcPr>
            <w:tcW w:w="2748" w:type="dxa"/>
            <w:shd w:val="pct5" w:color="auto" w:fill="FFFFFF"/>
          </w:tcPr>
          <w:p w14:paraId="354AA940" w14:textId="77777777" w:rsidR="0047783A" w:rsidRPr="006A5F84" w:rsidRDefault="0047783A" w:rsidP="003502E9">
            <w:pPr>
              <w:keepNext/>
              <w:keepLines/>
              <w:jc w:val="center"/>
            </w:pPr>
            <w:r w:rsidRPr="006A5F84">
              <w:t>Member 3</w:t>
            </w:r>
          </w:p>
        </w:tc>
        <w:tc>
          <w:tcPr>
            <w:tcW w:w="2748" w:type="dxa"/>
            <w:shd w:val="pct5" w:color="auto" w:fill="FFFFFF"/>
          </w:tcPr>
          <w:p w14:paraId="0C4BCBE7" w14:textId="77777777" w:rsidR="0047783A" w:rsidRPr="006A5F84" w:rsidRDefault="0047783A" w:rsidP="003502E9">
            <w:pPr>
              <w:keepNext/>
              <w:keepLines/>
              <w:widowControl w:val="0"/>
              <w:jc w:val="center"/>
            </w:pPr>
            <w:proofErr w:type="spellStart"/>
            <w:r w:rsidRPr="006A5F84">
              <w:t>Etc</w:t>
            </w:r>
            <w:proofErr w:type="spellEnd"/>
            <w:r w:rsidRPr="006A5F84">
              <w:t xml:space="preserve"> …</w:t>
            </w:r>
          </w:p>
        </w:tc>
      </w:tr>
      <w:tr w:rsidR="0047783A" w:rsidRPr="006A5F84" w14:paraId="1D65F8C1" w14:textId="77777777" w:rsidTr="00D64597">
        <w:trPr>
          <w:trHeight w:val="521"/>
        </w:trPr>
        <w:tc>
          <w:tcPr>
            <w:tcW w:w="3435" w:type="dxa"/>
          </w:tcPr>
          <w:p w14:paraId="132F5ECE" w14:textId="77777777" w:rsidR="0047783A" w:rsidRPr="006A5F84" w:rsidRDefault="0047783A" w:rsidP="003502E9">
            <w:pPr>
              <w:keepNext/>
              <w:keepLines/>
              <w:widowControl w:val="0"/>
              <w:jc w:val="both"/>
            </w:pPr>
            <w:r w:rsidRPr="006A5F84">
              <w:t>Relevant specialism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77777777" w:rsidR="0047783A" w:rsidRPr="006A5F84" w:rsidRDefault="0047783A" w:rsidP="003502E9">
            <w:pPr>
              <w:keepNext/>
              <w:keepLines/>
              <w:widowControl w:val="0"/>
              <w:jc w:val="both"/>
            </w:pPr>
            <w:r w:rsidRPr="006A5F84">
              <w:t>Relevant specialism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proofErr w:type="spellStart"/>
            <w:r w:rsidRPr="006A5F84">
              <w:t>Etc</w:t>
            </w:r>
            <w:proofErr w:type="spellEnd"/>
            <w:r w:rsidRPr="006A5F84">
              <w:t xml:space="preserve"> …</w:t>
            </w:r>
            <w:r w:rsidRPr="006A5F84">
              <w:rPr>
                <w:rStyle w:val="FootnoteReference"/>
              </w:rPr>
              <w:footnoteReference w:id="9"/>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661C0BCC" w14:textId="6A545852" w:rsidR="0047783A" w:rsidRPr="006A5F84" w:rsidRDefault="0047783A" w:rsidP="00EF71A7">
      <w:pPr>
        <w:keepLines/>
        <w:widowControl w:val="0"/>
        <w:jc w:val="both"/>
        <w:rPr>
          <w:sz w:val="28"/>
        </w:rPr>
        <w:sectPr w:rsidR="0047783A" w:rsidRPr="006A5F84" w:rsidSect="00D64597">
          <w:headerReference w:type="even" r:id="rId14"/>
          <w:headerReference w:type="default" r:id="rId15"/>
          <w:footerReference w:type="even" r:id="rId16"/>
          <w:footerReference w:type="default" r:id="rId17"/>
          <w:headerReference w:type="first" r:id="rId18"/>
          <w:footerReference w:type="first" r:id="rId19"/>
          <w:footnotePr>
            <w:pos w:val="beneathText"/>
          </w:footnotePr>
          <w:endnotePr>
            <w:numFmt w:val="decimal"/>
          </w:endnotePr>
          <w:pgSz w:w="16840" w:h="11907" w:orient="landscape" w:code="9"/>
          <w:pgMar w:top="1134" w:right="1134" w:bottom="1418" w:left="1134" w:header="720" w:footer="720" w:gutter="567"/>
          <w:cols w:space="720"/>
          <w:titlePg/>
        </w:sectPr>
      </w:pPr>
      <w:r w:rsidRPr="006A5F84">
        <w:br w:type="page"/>
      </w: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55F6F74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Pr="00F61F0B">
        <w:rPr>
          <w:b/>
          <w:sz w:val="22"/>
          <w:szCs w:val="22"/>
        </w:rPr>
        <w:t xml:space="preserve">. </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77777777" w:rsidR="0047783A" w:rsidRPr="006A5F84" w:rsidRDefault="0047783A" w:rsidP="0047783A">
      <w:pPr>
        <w:ind w:left="709" w:hanging="709"/>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dossier for invitation to tender No &lt;</w:t>
      </w:r>
      <w:r w:rsidRPr="002D59A9">
        <w:rPr>
          <w:sz w:val="22"/>
          <w:szCs w:val="22"/>
          <w:highlight w:val="yellow"/>
        </w:rPr>
        <w:t>………………………………</w:t>
      </w:r>
      <w:r w:rsidRPr="006A5F84">
        <w:rPr>
          <w:sz w:val="22"/>
          <w:szCs w:val="22"/>
        </w:rPr>
        <w:t>.&gt; of &lt;</w:t>
      </w:r>
      <w:r w:rsidRPr="002D59A9">
        <w:rPr>
          <w:sz w:val="22"/>
          <w:szCs w:val="22"/>
          <w:highlight w:val="yellow"/>
        </w:rPr>
        <w:t>date</w:t>
      </w:r>
      <w:r w:rsidRPr="006A5F84">
        <w:rPr>
          <w:sz w:val="22"/>
          <w:szCs w:val="22"/>
        </w:rPr>
        <w:t>&gt;. We hereby accept its provisions in their entirety, without reservation or restriction.</w:t>
      </w:r>
    </w:p>
    <w:p w14:paraId="5DF86039" w14:textId="3DF4D40B" w:rsidR="00657CEF" w:rsidRPr="004F0604" w:rsidRDefault="0047783A" w:rsidP="00EF71A7">
      <w:pPr>
        <w:ind w:left="709" w:hanging="709"/>
        <w:jc w:val="both"/>
        <w:rPr>
          <w:sz w:val="22"/>
          <w:szCs w:val="22"/>
          <w:highlight w:val="lightGray"/>
        </w:rPr>
      </w:pPr>
      <w:r w:rsidRPr="006A5F84">
        <w:rPr>
          <w:b/>
          <w:sz w:val="22"/>
          <w:szCs w:val="22"/>
        </w:rPr>
        <w:t>2</w:t>
      </w:r>
      <w:r w:rsidRPr="006A5F84">
        <w:rPr>
          <w:b/>
          <w:sz w:val="22"/>
          <w:szCs w:val="22"/>
        </w:rPr>
        <w:tab/>
      </w:r>
      <w:r w:rsidR="00657CEF" w:rsidRPr="00EF71A7">
        <w:rPr>
          <w:sz w:val="22"/>
          <w:szCs w:val="22"/>
        </w:rPr>
        <w:t>We offer to deliver, in accordance with the terms of the tender dossier and the conditions and time limits laid down, without reserve or restriction:</w:t>
      </w:r>
    </w:p>
    <w:p w14:paraId="40325D49" w14:textId="50400CF9" w:rsidR="00EF71A7" w:rsidRPr="00EF71A7" w:rsidRDefault="00657CEF" w:rsidP="00657CEF">
      <w:pPr>
        <w:ind w:left="709"/>
        <w:jc w:val="both"/>
        <w:rPr>
          <w:sz w:val="22"/>
          <w:szCs w:val="22"/>
        </w:rPr>
      </w:pPr>
      <w:r w:rsidRPr="00EF71A7">
        <w:rPr>
          <w:sz w:val="22"/>
          <w:szCs w:val="22"/>
        </w:rPr>
        <w:t xml:space="preserve">Lot 1: </w:t>
      </w:r>
      <w:r w:rsidR="00027936">
        <w:rPr>
          <w:sz w:val="22"/>
          <w:szCs w:val="22"/>
        </w:rPr>
        <w:t>Supply of cleaning material</w:t>
      </w:r>
      <w:r w:rsidR="00EF71A7" w:rsidRPr="00EF71A7">
        <w:rPr>
          <w:sz w:val="22"/>
          <w:szCs w:val="22"/>
        </w:rPr>
        <w:t xml:space="preserve"> </w:t>
      </w:r>
    </w:p>
    <w:p w14:paraId="69FDCE5A" w14:textId="41C626DF" w:rsidR="00657CEF" w:rsidRPr="00EF71A7" w:rsidRDefault="00657CEF" w:rsidP="00657CEF">
      <w:pPr>
        <w:ind w:left="709"/>
        <w:jc w:val="both"/>
        <w:rPr>
          <w:sz w:val="22"/>
          <w:szCs w:val="22"/>
        </w:rPr>
      </w:pPr>
      <w:r w:rsidRPr="00EF71A7">
        <w:rPr>
          <w:sz w:val="22"/>
          <w:szCs w:val="22"/>
        </w:rPr>
        <w:t xml:space="preserve">Lot 2: </w:t>
      </w:r>
      <w:r w:rsidR="00027936">
        <w:rPr>
          <w:sz w:val="22"/>
          <w:szCs w:val="22"/>
        </w:rPr>
        <w:t>Supply of Plastic Equipment</w:t>
      </w:r>
    </w:p>
    <w:p w14:paraId="48E2385F" w14:textId="77777777" w:rsidR="00657CEF" w:rsidRPr="008431A6" w:rsidRDefault="00657CEF" w:rsidP="0047783A">
      <w:pPr>
        <w:ind w:left="709"/>
        <w:jc w:val="both"/>
        <w:rPr>
          <w:sz w:val="22"/>
          <w:szCs w:val="22"/>
        </w:rPr>
      </w:pPr>
    </w:p>
    <w:p w14:paraId="00F7042B" w14:textId="3C3979F1"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parts</w:t>
      </w:r>
      <w:r w:rsidR="00EF71A7">
        <w:rPr>
          <w:sz w:val="22"/>
          <w:szCs w:val="22"/>
        </w:rPr>
        <w:t xml:space="preserve"> and consumables, if applicable</w:t>
      </w:r>
      <w:r w:rsidRPr="006A5F84">
        <w:rPr>
          <w:sz w:val="22"/>
          <w:szCs w:val="22"/>
        </w:rPr>
        <w:t xml:space="preserve"> is:</w:t>
      </w:r>
    </w:p>
    <w:p w14:paraId="1F67A251" w14:textId="2D600351" w:rsidR="0047783A" w:rsidRPr="006A5F84" w:rsidRDefault="0047783A" w:rsidP="0047783A">
      <w:pPr>
        <w:ind w:left="709"/>
        <w:jc w:val="both"/>
        <w:rPr>
          <w:sz w:val="22"/>
          <w:szCs w:val="22"/>
        </w:rPr>
      </w:pPr>
      <w:r w:rsidRPr="006A5F84">
        <w:rPr>
          <w:sz w:val="22"/>
          <w:szCs w:val="22"/>
        </w:rPr>
        <w:t xml:space="preserve">Lot 1: </w:t>
      </w:r>
      <w:r w:rsidR="008431A6">
        <w:rPr>
          <w:sz w:val="22"/>
          <w:szCs w:val="22"/>
        </w:rPr>
        <w:t>&lt;</w:t>
      </w:r>
      <w:r w:rsidR="008431A6" w:rsidRPr="002D59A9">
        <w:rPr>
          <w:sz w:val="22"/>
          <w:szCs w:val="22"/>
          <w:highlight w:val="yellow"/>
        </w:rPr>
        <w:t>insert price</w:t>
      </w:r>
      <w:r w:rsidR="00EF71A7" w:rsidRPr="00EF71A7">
        <w:rPr>
          <w:sz w:val="22"/>
          <w:szCs w:val="22"/>
          <w:highlight w:val="yellow"/>
        </w:rPr>
        <w:t xml:space="preserve"> </w:t>
      </w:r>
      <w:r w:rsidR="00EF71A7" w:rsidRPr="002D59A9">
        <w:rPr>
          <w:sz w:val="22"/>
          <w:szCs w:val="22"/>
          <w:highlight w:val="yellow"/>
        </w:rPr>
        <w:t>and currency</w:t>
      </w:r>
      <w:r w:rsidR="00EF71A7">
        <w:rPr>
          <w:sz w:val="22"/>
          <w:szCs w:val="22"/>
        </w:rPr>
        <w:t xml:space="preserve"> </w:t>
      </w:r>
      <w:r w:rsidR="008431A6">
        <w:rPr>
          <w:sz w:val="22"/>
          <w:szCs w:val="22"/>
        </w:rPr>
        <w:t>&gt;</w:t>
      </w:r>
    </w:p>
    <w:p w14:paraId="65CAB5D9" w14:textId="77777777" w:rsidR="0047783A" w:rsidRPr="006A5F84" w:rsidRDefault="0047783A" w:rsidP="0047783A">
      <w:pPr>
        <w:ind w:left="709"/>
        <w:jc w:val="both"/>
        <w:rPr>
          <w:sz w:val="22"/>
          <w:szCs w:val="22"/>
        </w:rPr>
      </w:pPr>
      <w:r w:rsidRPr="006A5F84">
        <w:rPr>
          <w:sz w:val="22"/>
          <w:szCs w:val="22"/>
        </w:rPr>
        <w:t xml:space="preserve">Lot 2: </w:t>
      </w:r>
      <w:r w:rsidR="008431A6">
        <w:rPr>
          <w:sz w:val="22"/>
          <w:szCs w:val="22"/>
        </w:rPr>
        <w:t>&lt;</w:t>
      </w:r>
      <w:r w:rsidR="008431A6" w:rsidRPr="002D59A9">
        <w:rPr>
          <w:sz w:val="22"/>
          <w:szCs w:val="22"/>
          <w:highlight w:val="yellow"/>
        </w:rPr>
        <w:t>insert price and currency</w:t>
      </w:r>
      <w:r w:rsidR="008431A6">
        <w:rPr>
          <w:sz w:val="22"/>
          <w:szCs w:val="22"/>
        </w:rPr>
        <w:t>&gt;</w:t>
      </w:r>
    </w:p>
    <w:p w14:paraId="55CD8624" w14:textId="77777777"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proofErr w:type="gramStart"/>
      <w:r w:rsidRPr="002D59A9">
        <w:rPr>
          <w:sz w:val="22"/>
          <w:szCs w:val="22"/>
          <w:highlight w:val="yellow"/>
        </w:rPr>
        <w:t>…..</w:t>
      </w:r>
      <w:proofErr w:type="gramEnd"/>
      <w:r w:rsidR="008431A6">
        <w:rPr>
          <w:sz w:val="22"/>
          <w:szCs w:val="22"/>
        </w:rPr>
        <w:t>&gt;</w:t>
      </w:r>
      <w:r w:rsidRPr="006A5F84">
        <w:rPr>
          <w:sz w:val="22"/>
          <w:szCs w:val="22"/>
        </w:rPr>
        <w:t xml:space="preserve">] </w:t>
      </w:r>
      <w:r w:rsidRPr="00EF71A7">
        <w:rPr>
          <w:sz w:val="22"/>
          <w:szCs w:val="22"/>
        </w:rPr>
        <w:t xml:space="preserve">[in the event of our being awarded </w:t>
      </w:r>
      <w:r w:rsidR="00B253B3" w:rsidRPr="00EF71A7">
        <w:rPr>
          <w:sz w:val="22"/>
          <w:szCs w:val="22"/>
        </w:rPr>
        <w:t>l</w:t>
      </w:r>
      <w:r w:rsidRPr="00EF71A7">
        <w:rPr>
          <w:sz w:val="22"/>
          <w:szCs w:val="22"/>
        </w:rPr>
        <w:t xml:space="preserve">ot … and </w:t>
      </w:r>
      <w:r w:rsidR="00B253B3" w:rsidRPr="00EF71A7">
        <w:rPr>
          <w:sz w:val="22"/>
          <w:szCs w:val="22"/>
        </w:rPr>
        <w:t>l</w:t>
      </w:r>
      <w:r w:rsidRPr="00EF71A7">
        <w:rPr>
          <w:sz w:val="22"/>
          <w:szCs w:val="22"/>
        </w:rPr>
        <w:t>ot …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38F214D2" w14:textId="77777777" w:rsidR="0047783A" w:rsidRPr="006A5F84" w:rsidRDefault="0047783A" w:rsidP="0047783A">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A1599BA" w14:textId="77777777" w:rsidR="0047783A" w:rsidRPr="006A5F84" w:rsidRDefault="0047783A" w:rsidP="0047783A">
      <w:pPr>
        <w:ind w:left="709" w:hanging="709"/>
        <w:jc w:val="both"/>
        <w:rPr>
          <w:sz w:val="22"/>
          <w:szCs w:val="22"/>
        </w:rPr>
      </w:pPr>
      <w:r w:rsidRPr="006A5F84">
        <w:rPr>
          <w:b/>
          <w:sz w:val="22"/>
          <w:szCs w:val="22"/>
        </w:rPr>
        <w:t>7</w:t>
      </w:r>
      <w:r w:rsidRPr="006A5F84">
        <w:rPr>
          <w:b/>
          <w:sz w:val="22"/>
          <w:szCs w:val="22"/>
        </w:rPr>
        <w:tab/>
      </w:r>
      <w:r w:rsidRPr="006A5F84">
        <w:rPr>
          <w:sz w:val="22"/>
          <w:szCs w:val="22"/>
        </w:rPr>
        <w:t>Our firm/company [</w:t>
      </w:r>
      <w:r w:rsidRPr="002D59A9">
        <w:rPr>
          <w:sz w:val="22"/>
          <w:szCs w:val="22"/>
          <w:highlight w:val="lightGray"/>
        </w:rPr>
        <w:t>and our subcontractors</w:t>
      </w:r>
      <w:r w:rsidRPr="006A5F84">
        <w:rPr>
          <w:sz w:val="22"/>
          <w:szCs w:val="22"/>
        </w:rPr>
        <w:t>] has/have the following nationality:</w:t>
      </w:r>
    </w:p>
    <w:p w14:paraId="69B73B73" w14:textId="77777777" w:rsidR="0047783A" w:rsidRPr="006A5F84" w:rsidRDefault="0047783A" w:rsidP="0047783A">
      <w:pPr>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3570A489" w14:textId="648EF91B" w:rsidR="0047783A" w:rsidRPr="006A5F84" w:rsidRDefault="0047783A" w:rsidP="0047783A">
      <w:pPr>
        <w:widowControl w:val="0"/>
        <w:ind w:left="709" w:hanging="709"/>
        <w:jc w:val="both"/>
        <w:rPr>
          <w:sz w:val="22"/>
          <w:szCs w:val="22"/>
        </w:rPr>
      </w:pPr>
      <w:r w:rsidRPr="006A5F84">
        <w:rPr>
          <w:b/>
          <w:sz w:val="22"/>
          <w:szCs w:val="22"/>
        </w:rPr>
        <w:t>8</w:t>
      </w:r>
      <w:r w:rsidRPr="006A5F84">
        <w:rPr>
          <w:sz w:val="22"/>
          <w:szCs w:val="22"/>
        </w:rPr>
        <w:tab/>
        <w:t>We are makin</w:t>
      </w:r>
      <w:r w:rsidR="00EF71A7">
        <w:rPr>
          <w:sz w:val="22"/>
          <w:szCs w:val="22"/>
        </w:rPr>
        <w:t xml:space="preserve">g this tender in our own </w:t>
      </w:r>
      <w:r w:rsidR="00EF71A7" w:rsidRPr="00EF71A7">
        <w:rPr>
          <w:sz w:val="22"/>
          <w:szCs w:val="22"/>
        </w:rPr>
        <w:t xml:space="preserve">right </w:t>
      </w:r>
      <w:r w:rsidRPr="00EF71A7">
        <w:rPr>
          <w:bCs/>
          <w:sz w:val="22"/>
          <w:szCs w:val="22"/>
        </w:rPr>
        <w:t>led by</w:t>
      </w:r>
      <w:r w:rsidR="00EF71A7" w:rsidRPr="00EF71A7">
        <w:rPr>
          <w:sz w:val="22"/>
          <w:szCs w:val="22"/>
        </w:rPr>
        <w:t xml:space="preserve"> </w:t>
      </w:r>
      <w:r w:rsidRPr="00EF71A7">
        <w:rPr>
          <w:sz w:val="22"/>
          <w:szCs w:val="22"/>
        </w:rPr>
        <w:t>ourselves. We confirm</w:t>
      </w:r>
      <w:r w:rsidRPr="006A5F84">
        <w:rPr>
          <w:sz w:val="22"/>
          <w:szCs w:val="22"/>
        </w:rPr>
        <w:t xml:space="preserve"> that we are not tendering for the same contract in any other form</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20"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lastRenderedPageBreak/>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w:t>
      </w:r>
      <w:proofErr w:type="gramStart"/>
      <w:r w:rsidR="00FF346A" w:rsidRPr="00FF346A">
        <w:rPr>
          <w:sz w:val="22"/>
          <w:szCs w:val="22"/>
        </w:rPr>
        <w:t>if  the</w:t>
      </w:r>
      <w:proofErr w:type="gramEnd"/>
      <w:r w:rsidR="00FF346A" w:rsidRPr="00FF346A">
        <w:rPr>
          <w:sz w:val="22"/>
          <w:szCs w:val="22"/>
        </w:rPr>
        <w:t xml:space="preserv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3B3CB9B3" w14:textId="77777777" w:rsidR="0047783A" w:rsidRPr="006A5F84" w:rsidRDefault="0047783A" w:rsidP="0047783A">
      <w:pPr>
        <w:ind w:left="567" w:hanging="567"/>
        <w:jc w:val="both"/>
        <w:rPr>
          <w:sz w:val="22"/>
          <w:szCs w:val="22"/>
        </w:rPr>
      </w:pP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C1B4A60"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7E011711"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0ADEF159"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04BFA2A2" w:rsidR="00347075" w:rsidRPr="00347075" w:rsidRDefault="008431A6" w:rsidP="000714DC">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bookmarkStart w:id="2" w:name="_GoBack"/>
      <w:bookmarkEnd w:id="2"/>
    </w:p>
    <w:sectPr w:rsidR="00347075" w:rsidRPr="00347075" w:rsidSect="00601A79">
      <w:headerReference w:type="even" r:id="rId21"/>
      <w:headerReference w:type="default" r:id="rId22"/>
      <w:footerReference w:type="even" r:id="rId23"/>
      <w:footerReference w:type="default" r:id="rId24"/>
      <w:headerReference w:type="first" r:id="rId25"/>
      <w:footerReference w:type="first" r:id="rId26"/>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757CA" w14:textId="77777777" w:rsidR="00BC0463" w:rsidRPr="006A5F84" w:rsidRDefault="00BC0463">
      <w:r w:rsidRPr="006A5F84">
        <w:separator/>
      </w:r>
    </w:p>
  </w:endnote>
  <w:endnote w:type="continuationSeparator" w:id="0">
    <w:p w14:paraId="5671DDC5" w14:textId="77777777" w:rsidR="00BC0463" w:rsidRPr="006A5F84" w:rsidRDefault="00BC0463">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Optima">
    <w:altName w:val="Segoe Prin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349A"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742BE4E"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01D1D" w14:textId="7EA09D44" w:rsidR="004C51DD" w:rsidRPr="006A5F84" w:rsidRDefault="00376642" w:rsidP="00601A79">
    <w:pPr>
      <w:pStyle w:val="Footer"/>
      <w:tabs>
        <w:tab w:val="clear" w:pos="4320"/>
        <w:tab w:val="clear" w:pos="8640"/>
        <w:tab w:val="right" w:pos="9072"/>
      </w:tabs>
      <w:spacing w:after="0"/>
      <w:rPr>
        <w:sz w:val="18"/>
        <w:szCs w:val="18"/>
      </w:rPr>
    </w:pPr>
    <w:r>
      <w:rPr>
        <w:b/>
        <w:sz w:val="18"/>
      </w:rPr>
      <w:t>2021</w:t>
    </w:r>
    <w:r w:rsidR="00074F86">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027936">
      <w:rPr>
        <w:noProof/>
        <w:sz w:val="18"/>
        <w:szCs w:val="18"/>
      </w:rPr>
      <w:t>3</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027936">
      <w:rPr>
        <w:noProof/>
        <w:sz w:val="18"/>
        <w:szCs w:val="18"/>
      </w:rPr>
      <w:t>6</w:t>
    </w:r>
    <w:r w:rsidR="004C51DD" w:rsidRPr="006A5F84">
      <w:rPr>
        <w:sz w:val="18"/>
        <w:szCs w:val="18"/>
      </w:rPr>
      <w:fldChar w:fldCharType="end"/>
    </w:r>
  </w:p>
  <w:p w14:paraId="4989E7CE" w14:textId="77777777" w:rsidR="004C51DD" w:rsidRPr="006A5F84" w:rsidRDefault="004C51DD" w:rsidP="00601A79">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9D469" w14:textId="77777777"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7426ACB6" w14:textId="77777777" w:rsidR="004C51DD" w:rsidRPr="006A5F84" w:rsidRDefault="004C51DD" w:rsidP="0047783A">
    <w:pPr>
      <w:pStyle w:val="Footer"/>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0F710B67"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EF71A7">
      <w:rPr>
        <w:noProof/>
        <w:sz w:val="18"/>
        <w:szCs w:val="18"/>
      </w:rPr>
      <w:t>5</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EF71A7">
      <w:rPr>
        <w:noProof/>
        <w:sz w:val="18"/>
        <w:szCs w:val="18"/>
      </w:rPr>
      <w:t>11</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3E6E61E4"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027936">
      <w:rPr>
        <w:noProof/>
        <w:sz w:val="18"/>
        <w:szCs w:val="18"/>
      </w:rPr>
      <w:t>4</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027936">
      <w:rPr>
        <w:noProof/>
        <w:sz w:val="18"/>
        <w:szCs w:val="18"/>
      </w:rPr>
      <w:t>6</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5DAB759D"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027936">
      <w:rPr>
        <w:rStyle w:val="PageNumber"/>
        <w:noProof/>
        <w:sz w:val="18"/>
        <w:szCs w:val="18"/>
      </w:rPr>
      <w:t>6</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027936">
      <w:rPr>
        <w:rStyle w:val="PageNumber"/>
        <w:noProof/>
        <w:sz w:val="18"/>
        <w:szCs w:val="18"/>
      </w:rPr>
      <w:t>6</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34C7A0BC"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027936">
      <w:rPr>
        <w:rStyle w:val="PageNumber"/>
        <w:noProof/>
        <w:sz w:val="18"/>
        <w:szCs w:val="18"/>
      </w:rPr>
      <w:t>5</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027936">
      <w:rPr>
        <w:rStyle w:val="PageNumber"/>
        <w:noProof/>
        <w:sz w:val="18"/>
        <w:szCs w:val="18"/>
      </w:rPr>
      <w:t>6</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180EE" w14:textId="77777777" w:rsidR="00BC0463" w:rsidRPr="006A5F84" w:rsidRDefault="00BC0463">
      <w:r w:rsidRPr="006A5F84">
        <w:separator/>
      </w:r>
    </w:p>
  </w:footnote>
  <w:footnote w:type="continuationSeparator" w:id="0">
    <w:p w14:paraId="4745853A" w14:textId="77777777" w:rsidR="00BC0463" w:rsidRPr="006A5F84" w:rsidRDefault="00BC0463">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3">
    <w:p w14:paraId="6808D8C0" w14:textId="77777777" w:rsidR="004C51DD" w:rsidRPr="006A5F84" w:rsidRDefault="004C51DD" w:rsidP="00DC608A">
      <w:pPr>
        <w:spacing w:after="60"/>
      </w:pPr>
      <w:r w:rsidRPr="006A5F84">
        <w:rPr>
          <w:rStyle w:val="FootnoteReference"/>
        </w:rPr>
        <w:footnoteRef/>
      </w:r>
      <w:r w:rsidR="00DC608A">
        <w:t xml:space="preserve"> </w:t>
      </w:r>
      <w:r w:rsidRPr="006A5F84">
        <w:t>Natural persons have to prove their capacity in accordance with the selection criteria and by the appropriate means.</w:t>
      </w:r>
    </w:p>
  </w:footnote>
  <w:footnote w:id="4">
    <w:p w14:paraId="3670321D" w14:textId="113DB720" w:rsidR="004C51DD" w:rsidRPr="006A5F84" w:rsidRDefault="004C51DD" w:rsidP="00DC608A">
      <w:pPr>
        <w:spacing w:after="60"/>
        <w:jc w:val="both"/>
      </w:pPr>
      <w:r w:rsidRPr="006A5F84">
        <w:rPr>
          <w:rStyle w:val="FootnoteReference"/>
        </w:rPr>
        <w:footnoteRef/>
      </w:r>
      <w:r w:rsidR="00DC608A">
        <w:t xml:space="preserve"> </w:t>
      </w:r>
      <w:r>
        <w:t>I</w:t>
      </w:r>
      <w:r w:rsidRPr="006A5F84">
        <w:t>f this</w:t>
      </w:r>
      <w:r w:rsidR="00A56B96">
        <w:t xml:space="preserve"> </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5">
    <w:p w14:paraId="5F48FABA" w14:textId="77777777" w:rsidR="00EF71A7" w:rsidRPr="006A5F84" w:rsidRDefault="00EF71A7" w:rsidP="00DC608A">
      <w:pPr>
        <w:spacing w:after="60"/>
      </w:pPr>
      <w:r w:rsidRPr="006A5F84">
        <w:rPr>
          <w:rStyle w:val="FootnoteReference"/>
        </w:rPr>
        <w:footnoteRef/>
      </w:r>
      <w:r>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6">
    <w:p w14:paraId="0DC79155" w14:textId="77777777" w:rsidR="00EF71A7" w:rsidRPr="006A5F84" w:rsidRDefault="00EF71A7" w:rsidP="00DC608A">
      <w:pPr>
        <w:spacing w:after="60"/>
      </w:pPr>
      <w:r w:rsidRPr="006A5F84">
        <w:rPr>
          <w:rStyle w:val="FootnoteReference"/>
        </w:rPr>
        <w:footnoteRef/>
      </w:r>
      <w:r>
        <w:t xml:space="preserve"> </w:t>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7">
    <w:p w14:paraId="3C1F229A" w14:textId="77777777" w:rsidR="00EF71A7" w:rsidRPr="006A5F84" w:rsidRDefault="00EF71A7" w:rsidP="00DC608A">
      <w:pPr>
        <w:spacing w:after="60"/>
        <w:jc w:val="both"/>
      </w:pPr>
      <w:r w:rsidRPr="006A5F84">
        <w:rPr>
          <w:rStyle w:val="FootnoteReference"/>
        </w:rPr>
        <w:footnoteRef/>
      </w:r>
      <w:r>
        <w:t xml:space="preserve"> </w:t>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8">
    <w:p w14:paraId="117F34AE" w14:textId="77777777" w:rsidR="00EF71A7" w:rsidRPr="006A5F84" w:rsidRDefault="00EF71A7" w:rsidP="00DC608A">
      <w:pPr>
        <w:jc w:val="both"/>
      </w:pPr>
      <w:r w:rsidRPr="006A5F84">
        <w:rPr>
          <w:rStyle w:val="FootnoteReference"/>
        </w:rPr>
        <w:footnoteRef/>
      </w:r>
      <w:r>
        <w:t xml:space="preserve"> </w:t>
      </w:r>
      <w:r w:rsidRPr="00AC74AC">
        <w:t>A company's debts or obligations that are due within one year. Current liabilities appear on the company's balance sheet and include short term debt, accounts payable, accrued liabilities and other debts.</w:t>
      </w:r>
    </w:p>
  </w:footnote>
  <w:footnote w:id="9">
    <w:p w14:paraId="3EAA60F2" w14:textId="77777777" w:rsidR="004C51DD" w:rsidRPr="006A5F84" w:rsidRDefault="004C51DD" w:rsidP="00DC608A">
      <w:r w:rsidRPr="006A5F84">
        <w:rPr>
          <w:rStyle w:val="FootnoteReference"/>
        </w:rPr>
        <w:footnoteRef/>
      </w:r>
      <w:r w:rsidR="00DC608A">
        <w:t xml:space="preserve"> </w:t>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09505" w14:textId="77777777" w:rsidR="00B60E33" w:rsidRDefault="00B60E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5C358" w14:textId="77777777" w:rsidR="00B60E33" w:rsidRDefault="00B60E3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4EF51" w14:textId="77777777" w:rsidR="00B60E33" w:rsidRDefault="00B60E3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6"/>
  </w:num>
  <w:num w:numId="4">
    <w:abstractNumId w:val="9"/>
  </w:num>
  <w:num w:numId="5">
    <w:abstractNumId w:val="18"/>
  </w:num>
  <w:num w:numId="6">
    <w:abstractNumId w:val="5"/>
  </w:num>
  <w:num w:numId="7">
    <w:abstractNumId w:val="2"/>
  </w:num>
  <w:num w:numId="8">
    <w:abstractNumId w:val="0"/>
  </w:num>
  <w:num w:numId="9">
    <w:abstractNumId w:val="10"/>
  </w:num>
  <w:num w:numId="10">
    <w:abstractNumId w:val="1"/>
  </w:num>
  <w:num w:numId="11">
    <w:abstractNumId w:val="15"/>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21E1"/>
    <w:rsid w:val="00002671"/>
    <w:rsid w:val="0001539E"/>
    <w:rsid w:val="00027936"/>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7B75"/>
    <w:rsid w:val="000F0E8C"/>
    <w:rsid w:val="000F1339"/>
    <w:rsid w:val="000F5F5F"/>
    <w:rsid w:val="00103348"/>
    <w:rsid w:val="00103913"/>
    <w:rsid w:val="00111B28"/>
    <w:rsid w:val="00115916"/>
    <w:rsid w:val="00115A3D"/>
    <w:rsid w:val="00121DE4"/>
    <w:rsid w:val="00123CF9"/>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10B"/>
    <w:rsid w:val="001F5421"/>
    <w:rsid w:val="001F7CA8"/>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133D"/>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6096"/>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F0604"/>
    <w:rsid w:val="004F5C57"/>
    <w:rsid w:val="004F7F94"/>
    <w:rsid w:val="005005D7"/>
    <w:rsid w:val="00501FF0"/>
    <w:rsid w:val="00512586"/>
    <w:rsid w:val="00516552"/>
    <w:rsid w:val="00516D71"/>
    <w:rsid w:val="0052694A"/>
    <w:rsid w:val="00535826"/>
    <w:rsid w:val="00536B4A"/>
    <w:rsid w:val="00537189"/>
    <w:rsid w:val="00556923"/>
    <w:rsid w:val="005634B2"/>
    <w:rsid w:val="0056352C"/>
    <w:rsid w:val="00565E46"/>
    <w:rsid w:val="005672B7"/>
    <w:rsid w:val="0057099C"/>
    <w:rsid w:val="00575CB0"/>
    <w:rsid w:val="0057671E"/>
    <w:rsid w:val="00582894"/>
    <w:rsid w:val="00586D6C"/>
    <w:rsid w:val="00587205"/>
    <w:rsid w:val="00587EDD"/>
    <w:rsid w:val="00591F23"/>
    <w:rsid w:val="00593550"/>
    <w:rsid w:val="005A3AB2"/>
    <w:rsid w:val="005B2018"/>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A048D"/>
    <w:rsid w:val="008A39B7"/>
    <w:rsid w:val="008C4E79"/>
    <w:rsid w:val="008C5A40"/>
    <w:rsid w:val="008C5DAA"/>
    <w:rsid w:val="008C7630"/>
    <w:rsid w:val="008E40E2"/>
    <w:rsid w:val="008F3866"/>
    <w:rsid w:val="009143FD"/>
    <w:rsid w:val="00914FFB"/>
    <w:rsid w:val="00920A51"/>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54B9"/>
    <w:rsid w:val="009E6BB7"/>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9731A"/>
    <w:rsid w:val="00BA70CB"/>
    <w:rsid w:val="00BB2075"/>
    <w:rsid w:val="00BB56D3"/>
    <w:rsid w:val="00BB7AF4"/>
    <w:rsid w:val="00BC046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EF71A7"/>
    <w:rsid w:val="00F02006"/>
    <w:rsid w:val="00F0574A"/>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1245"/>
    <w:rsid w:val="00F830BE"/>
    <w:rsid w:val="00F85790"/>
    <w:rsid w:val="00F86280"/>
    <w:rsid w:val="00F874CE"/>
    <w:rsid w:val="00F87F88"/>
    <w:rsid w:val="00F90A9F"/>
    <w:rsid w:val="00F91DF6"/>
    <w:rsid w:val="00F962E3"/>
    <w:rsid w:val="00FA3F66"/>
    <w:rsid w:val="00FA4292"/>
    <w:rsid w:val="00FB2706"/>
    <w:rsid w:val="00FB3374"/>
    <w:rsid w:val="00FB67DE"/>
    <w:rsid w:val="00FB7C83"/>
    <w:rsid w:val="00FD23CD"/>
    <w:rsid w:val="00FD3E06"/>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qFormat/>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qFormat/>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6FC3B-760C-4ACD-A1CE-B4FD728B7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2</cp:revision>
  <cp:lastPrinted>2012-09-24T09:39:00Z</cp:lastPrinted>
  <dcterms:created xsi:type="dcterms:W3CDTF">2023-11-10T18:11:00Z</dcterms:created>
  <dcterms:modified xsi:type="dcterms:W3CDTF">2023-11-10T18:11:00Z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