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337B66CD" w:rsidR="0047783A" w:rsidRPr="006A5F84" w:rsidRDefault="00D93DFD" w:rsidP="0047783A">
      <w:pPr>
        <w:pStyle w:val="Title"/>
        <w:jc w:val="left"/>
        <w:rPr>
          <w:b w:val="0"/>
          <w:sz w:val="22"/>
          <w:szCs w:val="22"/>
          <w:lang w:val="en-GB"/>
        </w:rPr>
      </w:pPr>
      <w:r>
        <w:rPr>
          <w:sz w:val="22"/>
          <w:szCs w:val="22"/>
          <w:lang w:val="en-GB"/>
        </w:rPr>
        <w:t xml:space="preserve">Publication reference: </w:t>
      </w:r>
      <w:r w:rsidR="00C530DF">
        <w:rPr>
          <w:rFonts w:cs="Arial"/>
        </w:rPr>
        <w:t>47</w:t>
      </w:r>
      <w:r w:rsidR="00C530DF" w:rsidRPr="00D870D6">
        <w:rPr>
          <w:rFonts w:cs="Arial"/>
        </w:rPr>
        <w:t>/CUAMM/ETH/2024/</w:t>
      </w:r>
      <w:r w:rsidR="00C530DF" w:rsidRPr="00EF58DC">
        <w:rPr>
          <w:rFonts w:cs="Arial"/>
        </w:rPr>
        <w:t>CBPF-ETH-24-R-INGO-34001</w:t>
      </w:r>
    </w:p>
    <w:p w14:paraId="3FAAFBC9" w14:textId="1245B7B1" w:rsidR="004C460B" w:rsidRDefault="00D93DFD" w:rsidP="00140FF3">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proofErr w:type="spellStart"/>
      <w:r w:rsidR="00C530DF" w:rsidRPr="00151210">
        <w:rPr>
          <w:sz w:val="24"/>
          <w:szCs w:val="24"/>
        </w:rPr>
        <w:t>Supply</w:t>
      </w:r>
      <w:proofErr w:type="spellEnd"/>
      <w:r w:rsidR="00C530DF" w:rsidRPr="00151210">
        <w:rPr>
          <w:sz w:val="24"/>
          <w:szCs w:val="24"/>
        </w:rPr>
        <w:t xml:space="preserve"> of </w:t>
      </w:r>
      <w:proofErr w:type="spellStart"/>
      <w:r w:rsidR="00C530DF" w:rsidRPr="00151210">
        <w:rPr>
          <w:sz w:val="24"/>
          <w:szCs w:val="24"/>
        </w:rPr>
        <w:t>Medical</w:t>
      </w:r>
      <w:proofErr w:type="spellEnd"/>
      <w:r w:rsidR="00C530DF" w:rsidRPr="00151210">
        <w:rPr>
          <w:sz w:val="24"/>
          <w:szCs w:val="24"/>
        </w:rPr>
        <w:t xml:space="preserve"> </w:t>
      </w:r>
      <w:proofErr w:type="spellStart"/>
      <w:r w:rsidR="00C530DF" w:rsidRPr="00151210">
        <w:rPr>
          <w:sz w:val="24"/>
          <w:szCs w:val="24"/>
        </w:rPr>
        <w:t>Drugs</w:t>
      </w:r>
      <w:proofErr w:type="spellEnd"/>
      <w:r w:rsidR="00C530DF" w:rsidRPr="00151210">
        <w:rPr>
          <w:sz w:val="24"/>
          <w:szCs w:val="24"/>
        </w:rPr>
        <w:t xml:space="preserve">, </w:t>
      </w:r>
      <w:proofErr w:type="spellStart"/>
      <w:r w:rsidR="00C530DF" w:rsidRPr="00151210">
        <w:rPr>
          <w:sz w:val="24"/>
          <w:szCs w:val="24"/>
        </w:rPr>
        <w:t>Laboratory</w:t>
      </w:r>
      <w:proofErr w:type="spellEnd"/>
      <w:r w:rsidR="00C530DF" w:rsidRPr="00151210">
        <w:rPr>
          <w:sz w:val="24"/>
          <w:szCs w:val="24"/>
        </w:rPr>
        <w:t xml:space="preserve"> </w:t>
      </w:r>
      <w:proofErr w:type="spellStart"/>
      <w:r w:rsidR="00C530DF" w:rsidRPr="00151210">
        <w:rPr>
          <w:sz w:val="24"/>
          <w:szCs w:val="24"/>
        </w:rPr>
        <w:t>Reagents</w:t>
      </w:r>
      <w:proofErr w:type="spellEnd"/>
      <w:r w:rsidR="00C530DF" w:rsidRPr="00151210">
        <w:rPr>
          <w:sz w:val="24"/>
          <w:szCs w:val="24"/>
        </w:rPr>
        <w:t xml:space="preserve">, and </w:t>
      </w:r>
      <w:proofErr w:type="spellStart"/>
      <w:r w:rsidR="00C530DF" w:rsidRPr="00151210">
        <w:rPr>
          <w:sz w:val="24"/>
          <w:szCs w:val="24"/>
        </w:rPr>
        <w:t>Medical</w:t>
      </w:r>
      <w:proofErr w:type="spellEnd"/>
      <w:r w:rsidR="00C530DF" w:rsidRPr="00151210">
        <w:rPr>
          <w:sz w:val="24"/>
          <w:szCs w:val="24"/>
        </w:rPr>
        <w:t xml:space="preserve"> </w:t>
      </w:r>
      <w:r w:rsidR="00C530DF">
        <w:rPr>
          <w:sz w:val="24"/>
          <w:szCs w:val="24"/>
        </w:rPr>
        <w:t>Equipment</w:t>
      </w:r>
      <w:r w:rsidR="00140FF3">
        <w:rPr>
          <w:sz w:val="22"/>
          <w:szCs w:val="22"/>
        </w:rPr>
        <w:tab/>
      </w:r>
      <w:r w:rsidR="00140FF3">
        <w:rPr>
          <w:sz w:val="22"/>
          <w:szCs w:val="22"/>
        </w:rPr>
        <w:tab/>
      </w:r>
      <w:r w:rsidR="00140FF3">
        <w:rPr>
          <w:sz w:val="22"/>
          <w:szCs w:val="22"/>
        </w:rPr>
        <w:tab/>
      </w:r>
      <w:r w:rsidR="00140FF3">
        <w:rPr>
          <w:sz w:val="22"/>
          <w:szCs w:val="22"/>
        </w:rPr>
        <w:tab/>
        <w:t>Date:</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w:t>
      </w:r>
      <w:proofErr w:type="gramStart"/>
      <w:r>
        <w:rPr>
          <w:sz w:val="22"/>
          <w:szCs w:val="22"/>
        </w:rPr>
        <w:t>for</w:t>
      </w:r>
      <w:proofErr w:type="gramEnd"/>
      <w:r>
        <w:rPr>
          <w:sz w:val="22"/>
          <w:szCs w:val="22"/>
        </w:rPr>
        <w:t xml:space="preserve">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proofErr w:type="spellStart"/>
            <w:r w:rsidRPr="006A5F84">
              <w:rPr>
                <w:b/>
                <w:sz w:val="22"/>
              </w:rPr>
              <w:t>Etc</w:t>
            </w:r>
            <w:proofErr w:type="spellEnd"/>
            <w:r w:rsidRPr="006A5F84">
              <w:rPr>
                <w:b/>
                <w:sz w:val="22"/>
              </w:rPr>
              <w:t xml:space="preserve">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 xml:space="preserve">ECONOMIC AND FINANCIAL </w:t>
      </w:r>
      <w:proofErr w:type="gramStart"/>
      <w:r w:rsidR="0047783A" w:rsidRPr="006A5F84">
        <w:rPr>
          <w:b/>
          <w:sz w:val="24"/>
          <w:szCs w:val="24"/>
        </w:rPr>
        <w:t>CAPACITY</w:t>
      </w:r>
      <w:proofErr w:type="gramEnd"/>
    </w:p>
    <w:p w14:paraId="5488956C" w14:textId="77777777" w:rsidR="00306199" w:rsidRDefault="00306199" w:rsidP="00306199">
      <w:pPr>
        <w:keepNext/>
        <w:keepLines/>
        <w:widowControl w:val="0"/>
        <w:jc w:val="both"/>
        <w:rPr>
          <w:sz w:val="22"/>
          <w:szCs w:val="22"/>
        </w:rPr>
      </w:pPr>
      <w:proofErr w:type="gramStart"/>
      <w:r w:rsidRPr="00537A17">
        <w:rPr>
          <w:sz w:val="22"/>
          <w:szCs w:val="22"/>
        </w:rPr>
        <w:t>he</w:t>
      </w:r>
      <w:proofErr w:type="gramEnd"/>
      <w:r w:rsidRPr="00537A17">
        <w:rPr>
          <w:sz w:val="22"/>
          <w:szCs w:val="22"/>
        </w:rPr>
        <w:t xml:space="preserv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proofErr w:type="gramStart"/>
      <w:r w:rsidR="0047783A" w:rsidRPr="00306199">
        <w:rPr>
          <w:b/>
          <w:sz w:val="24"/>
          <w:szCs w:val="24"/>
        </w:rPr>
        <w:t>EXPERIENCE</w:t>
      </w:r>
      <w:proofErr w:type="gramEnd"/>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proofErr w:type="gramStart"/>
      <w:r w:rsidRPr="006A5F84">
        <w:rPr>
          <w:sz w:val="22"/>
          <w:szCs w:val="22"/>
        </w:rPr>
        <w:t>we</w:t>
      </w:r>
      <w:proofErr w:type="gramEnd"/>
      <w:r w:rsidRPr="006A5F84">
        <w:rPr>
          <w:sz w:val="22"/>
          <w:szCs w:val="22"/>
        </w:rPr>
        <w:t>, the undersigned, hereby declare that:</w:t>
      </w:r>
    </w:p>
    <w:p w14:paraId="6DDCD6BD" w14:textId="7A4468AB"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674E15">
        <w:rPr>
          <w:rFonts w:cs="Arial"/>
        </w:rPr>
        <w:t>47</w:t>
      </w:r>
      <w:r w:rsidR="00674E15" w:rsidRPr="00D870D6">
        <w:rPr>
          <w:rFonts w:cs="Arial"/>
        </w:rPr>
        <w:t>/CUAMM/ETH/2024/</w:t>
      </w:r>
      <w:r w:rsidR="00674E15" w:rsidRPr="00EF58DC">
        <w:rPr>
          <w:rFonts w:cs="Arial"/>
        </w:rPr>
        <w:t>CBPF-ETH-24-R-INGO-34001</w:t>
      </w:r>
      <w:r w:rsidR="00F21154" w:rsidRPr="006A5F84">
        <w:rPr>
          <w:sz w:val="22"/>
          <w:szCs w:val="22"/>
        </w:rPr>
        <w:t>of</w:t>
      </w:r>
      <w:r w:rsidRPr="006A5F84">
        <w:rPr>
          <w:sz w:val="22"/>
          <w:szCs w:val="22"/>
        </w:rPr>
        <w:t xml:space="preserve"> </w:t>
      </w:r>
      <w:r w:rsidR="007429D3">
        <w:rPr>
          <w:sz w:val="22"/>
          <w:szCs w:val="22"/>
        </w:rPr>
        <w:t>07th</w:t>
      </w:r>
      <w:r w:rsidR="004917A8">
        <w:rPr>
          <w:sz w:val="22"/>
          <w:szCs w:val="22"/>
        </w:rPr>
        <w:t xml:space="preserve"> of</w:t>
      </w:r>
      <w:r w:rsidR="00CE3B7D">
        <w:rPr>
          <w:sz w:val="22"/>
          <w:szCs w:val="22"/>
        </w:rPr>
        <w:t xml:space="preserve"> </w:t>
      </w:r>
      <w:r w:rsidR="007429D3">
        <w:rPr>
          <w:sz w:val="22"/>
          <w:szCs w:val="22"/>
        </w:rPr>
        <w:t>December</w:t>
      </w:r>
      <w:bookmarkStart w:id="2" w:name="_GoBack"/>
      <w:bookmarkEnd w:id="2"/>
      <w:r w:rsidR="004955CF">
        <w:rPr>
          <w:sz w:val="22"/>
          <w:szCs w:val="22"/>
        </w:rPr>
        <w:t>, 2024</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513781"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 xml:space="preserve">We offer to deliver, in accordance with the terms of the tender dossier and the conditions and time limits </w:t>
      </w:r>
      <w:proofErr w:type="gramStart"/>
      <w:r w:rsidR="00657CEF" w:rsidRPr="001A5EF3">
        <w:rPr>
          <w:sz w:val="22"/>
          <w:szCs w:val="22"/>
        </w:rPr>
        <w:t>laid</w:t>
      </w:r>
      <w:proofErr w:type="gramEnd"/>
      <w:r w:rsidR="00657CEF" w:rsidRPr="001A5EF3">
        <w:rPr>
          <w:sz w:val="22"/>
          <w:szCs w:val="22"/>
        </w:rPr>
        <w:t xml:space="preserve">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w:t>
      </w:r>
      <w:proofErr w:type="gramStart"/>
      <w:r w:rsidRPr="006A5F84">
        <w:rPr>
          <w:sz w:val="22"/>
          <w:szCs w:val="22"/>
        </w:rPr>
        <w:t>of</w:t>
      </w:r>
      <w:proofErr w:type="gramEnd"/>
      <w:r w:rsidRPr="006A5F84">
        <w:rPr>
          <w:sz w:val="22"/>
          <w:szCs w:val="22"/>
        </w:rPr>
        <w:t xml:space="preserve">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w:t>
      </w:r>
      <w:proofErr w:type="gramStart"/>
      <w:r>
        <w:rPr>
          <w:color w:val="000000"/>
          <w:sz w:val="22"/>
          <w:szCs w:val="22"/>
        </w:rPr>
        <w:t>subcontractors  are</w:t>
      </w:r>
      <w:proofErr w:type="gramEnd"/>
      <w:r>
        <w:rPr>
          <w:color w:val="000000"/>
          <w:sz w:val="22"/>
          <w:szCs w:val="22"/>
        </w:rPr>
        <w:t xml:space="preserv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7"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w:t>
      </w:r>
      <w:proofErr w:type="gramStart"/>
      <w:r w:rsidR="00FF346A" w:rsidRPr="00FF346A">
        <w:rPr>
          <w:sz w:val="22"/>
          <w:szCs w:val="22"/>
        </w:rPr>
        <w:t>if  the</w:t>
      </w:r>
      <w:proofErr w:type="gramEnd"/>
      <w:r w:rsidR="00FF346A" w:rsidRPr="00FF346A">
        <w:rPr>
          <w:sz w:val="22"/>
          <w:szCs w:val="22"/>
        </w:rPr>
        <w:t xml:space="preserv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3E406" w14:textId="77777777" w:rsidR="00513781" w:rsidRPr="006A5F84" w:rsidRDefault="00513781">
      <w:r w:rsidRPr="006A5F84">
        <w:separator/>
      </w:r>
    </w:p>
  </w:endnote>
  <w:endnote w:type="continuationSeparator" w:id="0">
    <w:p w14:paraId="6C395897" w14:textId="77777777" w:rsidR="00513781" w:rsidRPr="006A5F84" w:rsidRDefault="00513781">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ED3A7" w14:textId="091A3832"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946F05">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946F05">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DEFC5" w14:textId="3090E456"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946F05">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946F05">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557D2" w14:textId="3D4FF1C3"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946F05">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946F05">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76558" w14:textId="36464F94"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7429D3">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7429D3">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562EB" w14:textId="77777777" w:rsidR="00513781" w:rsidRPr="006A5F84" w:rsidRDefault="00513781">
      <w:r w:rsidRPr="006A5F84">
        <w:separator/>
      </w:r>
    </w:p>
  </w:footnote>
  <w:footnote w:type="continuationSeparator" w:id="0">
    <w:p w14:paraId="53149C77" w14:textId="77777777" w:rsidR="00513781" w:rsidRPr="006A5F84" w:rsidRDefault="00513781">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proofErr w:type="gramStart"/>
      <w:r w:rsidRPr="006A5F84">
        <w:t>Country in which the legal entity is registered</w:t>
      </w:r>
      <w:r>
        <w:t>.</w:t>
      </w:r>
      <w:proofErr w:type="gramEnd"/>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9E867" w14:textId="77777777" w:rsidR="004C51DD" w:rsidRDefault="004C51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EBBAE" w14:textId="77777777" w:rsidR="004C51DD" w:rsidRDefault="004C51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48486" w14:textId="77777777" w:rsidR="004C51DD" w:rsidRDefault="004C51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F366F" w14:textId="77777777" w:rsidR="004C51DD" w:rsidRDefault="004C51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7432D" w14:textId="77777777" w:rsidR="004C51DD" w:rsidRDefault="004C51D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C327C" w14:textId="77777777" w:rsidR="004C51DD" w:rsidRDefault="004C5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6F91"/>
    <w:rsid w:val="0001539E"/>
    <w:rsid w:val="0002514A"/>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784"/>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2CC5"/>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696"/>
    <w:rsid w:val="00250CE6"/>
    <w:rsid w:val="0025137A"/>
    <w:rsid w:val="0025230D"/>
    <w:rsid w:val="002560BB"/>
    <w:rsid w:val="002561C8"/>
    <w:rsid w:val="0026542C"/>
    <w:rsid w:val="00267F66"/>
    <w:rsid w:val="00271700"/>
    <w:rsid w:val="002727A7"/>
    <w:rsid w:val="00272A7B"/>
    <w:rsid w:val="00273EB1"/>
    <w:rsid w:val="0028364A"/>
    <w:rsid w:val="00283CDB"/>
    <w:rsid w:val="00284018"/>
    <w:rsid w:val="00285EA7"/>
    <w:rsid w:val="00290561"/>
    <w:rsid w:val="00291017"/>
    <w:rsid w:val="00294190"/>
    <w:rsid w:val="002948A6"/>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4AA7"/>
    <w:rsid w:val="003F78F3"/>
    <w:rsid w:val="003F7AF5"/>
    <w:rsid w:val="003F7DB7"/>
    <w:rsid w:val="0040221E"/>
    <w:rsid w:val="0040384D"/>
    <w:rsid w:val="0040595A"/>
    <w:rsid w:val="00406AC8"/>
    <w:rsid w:val="004072FA"/>
    <w:rsid w:val="00411DB1"/>
    <w:rsid w:val="00420666"/>
    <w:rsid w:val="00420B48"/>
    <w:rsid w:val="004300D4"/>
    <w:rsid w:val="004316F0"/>
    <w:rsid w:val="00432715"/>
    <w:rsid w:val="00434C5F"/>
    <w:rsid w:val="004404F2"/>
    <w:rsid w:val="0044062D"/>
    <w:rsid w:val="00443576"/>
    <w:rsid w:val="00450522"/>
    <w:rsid w:val="00451446"/>
    <w:rsid w:val="0045310F"/>
    <w:rsid w:val="004554CB"/>
    <w:rsid w:val="004607CD"/>
    <w:rsid w:val="00476553"/>
    <w:rsid w:val="004775D2"/>
    <w:rsid w:val="0047783A"/>
    <w:rsid w:val="00483E26"/>
    <w:rsid w:val="00487DA9"/>
    <w:rsid w:val="0049088E"/>
    <w:rsid w:val="004917A8"/>
    <w:rsid w:val="004930FF"/>
    <w:rsid w:val="00494168"/>
    <w:rsid w:val="004955CF"/>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3781"/>
    <w:rsid w:val="00516552"/>
    <w:rsid w:val="00516D71"/>
    <w:rsid w:val="0052694A"/>
    <w:rsid w:val="005319A4"/>
    <w:rsid w:val="00535826"/>
    <w:rsid w:val="00536B4A"/>
    <w:rsid w:val="00537189"/>
    <w:rsid w:val="00556923"/>
    <w:rsid w:val="005634B2"/>
    <w:rsid w:val="00565E46"/>
    <w:rsid w:val="005672B7"/>
    <w:rsid w:val="0057099C"/>
    <w:rsid w:val="005733B0"/>
    <w:rsid w:val="005756B8"/>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5413"/>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E15"/>
    <w:rsid w:val="00674FF5"/>
    <w:rsid w:val="00677500"/>
    <w:rsid w:val="0068247E"/>
    <w:rsid w:val="00682D20"/>
    <w:rsid w:val="006864D5"/>
    <w:rsid w:val="006917B2"/>
    <w:rsid w:val="00692095"/>
    <w:rsid w:val="006936CD"/>
    <w:rsid w:val="00694910"/>
    <w:rsid w:val="006A4836"/>
    <w:rsid w:val="006A5F84"/>
    <w:rsid w:val="006A7F2C"/>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429D3"/>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3AD"/>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43397"/>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6F05"/>
    <w:rsid w:val="009473A5"/>
    <w:rsid w:val="00951374"/>
    <w:rsid w:val="009551FE"/>
    <w:rsid w:val="009676C2"/>
    <w:rsid w:val="00980A42"/>
    <w:rsid w:val="00985F1E"/>
    <w:rsid w:val="00986672"/>
    <w:rsid w:val="009976B3"/>
    <w:rsid w:val="009A2978"/>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5CA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610"/>
    <w:rsid w:val="00C13C29"/>
    <w:rsid w:val="00C17310"/>
    <w:rsid w:val="00C302E1"/>
    <w:rsid w:val="00C3235B"/>
    <w:rsid w:val="00C34E40"/>
    <w:rsid w:val="00C41328"/>
    <w:rsid w:val="00C417A4"/>
    <w:rsid w:val="00C41919"/>
    <w:rsid w:val="00C41E0B"/>
    <w:rsid w:val="00C530DF"/>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14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2C96"/>
    <w:rsid w:val="00DE7055"/>
    <w:rsid w:val="00DE71AB"/>
    <w:rsid w:val="00DF583D"/>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FD8"/>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E465027D-A72D-4D33-BC89-46A133CA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5</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91</cp:revision>
  <cp:lastPrinted>2012-09-24T09:39:00Z</cp:lastPrinted>
  <dcterms:created xsi:type="dcterms:W3CDTF">2018-12-18T11:43:00Z</dcterms:created>
  <dcterms:modified xsi:type="dcterms:W3CDTF">2025-01-02T08:24:00Z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7f66b64a1bcd9af10daae5ef7c9a133b4c9c66d49aef1a9e42755ac8e003f5da</vt:lpwstr>
  </property>
</Properties>
</file>